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6AB" w:rsidRDefault="004C76AB" w:rsidP="004C76AB">
      <w:pPr>
        <w:jc w:val="both"/>
        <w:rPr>
          <w:rFonts w:cs="Arial"/>
          <w:sz w:val="23"/>
          <w:szCs w:val="23"/>
        </w:rPr>
      </w:pPr>
      <w:r w:rsidRPr="004C76AB">
        <w:rPr>
          <w:rFonts w:cs="Arial"/>
          <w:sz w:val="23"/>
          <w:szCs w:val="23"/>
        </w:rPr>
        <w:t>NOTA 01 - CONTEXTO OPERACIONAL</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 xml:space="preserve">A _________________________________ - ME é uma pessoa jurídica de direito privado, com fins lucrativos, tributada pelo </w:t>
      </w:r>
      <w:r w:rsidRPr="005708E9">
        <w:rPr>
          <w:rFonts w:ascii="Calibri" w:hAnsi="Calibri" w:cs="Calibri"/>
          <w:color w:val="FF0000"/>
          <w:sz w:val="23"/>
          <w:szCs w:val="23"/>
        </w:rPr>
        <w:t>Simples Nacional</w:t>
      </w:r>
      <w:r>
        <w:rPr>
          <w:rFonts w:ascii="Calibri" w:hAnsi="Calibri" w:cs="Calibri"/>
          <w:sz w:val="23"/>
          <w:szCs w:val="23"/>
        </w:rPr>
        <w:t>, com sede e foro na Rua _________________________________, Londrina-PR. CEP</w:t>
      </w:r>
      <w:r>
        <w:rPr>
          <w:rFonts w:ascii="Calibri" w:hAnsi="Calibri" w:cs="Calibri"/>
        </w:rPr>
        <w:t xml:space="preserve"> </w:t>
      </w:r>
      <w:r>
        <w:rPr>
          <w:rFonts w:ascii="Calibri" w:hAnsi="Calibri" w:cs="Calibri"/>
          <w:sz w:val="23"/>
          <w:szCs w:val="23"/>
        </w:rPr>
        <w:t>__________, NIRE _________________, CNPJ __________________, aberta desde ___/___/______, por prazo indeterminado, com atividade econômica de ________________________.</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NOTA 02 - APRESENTAÇÃO DAS DEMONSTRAÇÕES CONTÁBEIS</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As Demonstrações Contábeis comparativas, encerradas em 31 de dezembro de 201</w:t>
      </w:r>
      <w:r w:rsidR="00C450B9">
        <w:rPr>
          <w:rFonts w:ascii="Calibri" w:hAnsi="Calibri" w:cs="Calibri"/>
          <w:sz w:val="23"/>
          <w:szCs w:val="23"/>
        </w:rPr>
        <w:t>7</w:t>
      </w:r>
      <w:r>
        <w:rPr>
          <w:rFonts w:ascii="Calibri" w:hAnsi="Calibri" w:cs="Calibri"/>
          <w:sz w:val="23"/>
          <w:szCs w:val="23"/>
        </w:rPr>
        <w:t xml:space="preserve"> e 31 de dezembro de 201</w:t>
      </w:r>
      <w:r w:rsidR="00C450B9">
        <w:rPr>
          <w:rFonts w:ascii="Calibri" w:hAnsi="Calibri" w:cs="Calibri"/>
          <w:sz w:val="23"/>
          <w:szCs w:val="23"/>
        </w:rPr>
        <w:t>6</w:t>
      </w:r>
      <w:r>
        <w:rPr>
          <w:rFonts w:ascii="Calibri" w:hAnsi="Calibri" w:cs="Calibri"/>
          <w:sz w:val="23"/>
          <w:szCs w:val="23"/>
        </w:rPr>
        <w:t>, aqui compreendidos: Balanço Patrimonial, Demonstração do Resultado (DRE), Demonstração das Mutações do Patrimônio Líquido (DMPL) e Demonstração dos Fluxos de Caixa (DFC), foram elaborados a partir das diretrizes contábeis e dos Princípios Contábeis.</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Para efeito de comparação as Demonstrações Contábeis foram elaboradas de maneira uniforme entre os períodos (</w:t>
      </w:r>
      <w:proofErr w:type="gramStart"/>
      <w:r>
        <w:rPr>
          <w:rFonts w:ascii="Calibri" w:hAnsi="Calibri" w:cs="Calibri"/>
          <w:sz w:val="23"/>
          <w:szCs w:val="23"/>
        </w:rPr>
        <w:t>Dezembro</w:t>
      </w:r>
      <w:proofErr w:type="gramEnd"/>
      <w:r>
        <w:rPr>
          <w:rFonts w:ascii="Calibri" w:hAnsi="Calibri" w:cs="Calibri"/>
          <w:sz w:val="23"/>
          <w:szCs w:val="23"/>
        </w:rPr>
        <w:t>/201</w:t>
      </w:r>
      <w:r w:rsidR="00C450B9">
        <w:rPr>
          <w:rFonts w:ascii="Calibri" w:hAnsi="Calibri" w:cs="Calibri"/>
          <w:sz w:val="23"/>
          <w:szCs w:val="23"/>
        </w:rPr>
        <w:t>7</w:t>
      </w:r>
      <w:r>
        <w:rPr>
          <w:rFonts w:ascii="Calibri" w:hAnsi="Calibri" w:cs="Calibri"/>
          <w:sz w:val="23"/>
          <w:szCs w:val="23"/>
        </w:rPr>
        <w:t xml:space="preserve"> e Dezembro/201</w:t>
      </w:r>
      <w:r w:rsidR="00C450B9">
        <w:rPr>
          <w:rFonts w:ascii="Calibri" w:hAnsi="Calibri" w:cs="Calibri"/>
          <w:sz w:val="23"/>
          <w:szCs w:val="23"/>
        </w:rPr>
        <w:t>6</w:t>
      </w:r>
      <w:r>
        <w:rPr>
          <w:rFonts w:ascii="Calibri" w:hAnsi="Calibri" w:cs="Calibri"/>
          <w:sz w:val="23"/>
          <w:szCs w:val="23"/>
        </w:rPr>
        <w:t xml:space="preserve">), facilitando a leitura das informações, qualquer discrepância será objeto de adendo específico nestas Notas Explicativas.   </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O resultado é apurado de acordo com o regime de competência, que estabelece que as receitas e despesas devem ser incluídas na apuração dos resultados dos períodos em que ocorrem, sempre quando se correlacionarem, independentemente de recebimento ou pagamento.</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 xml:space="preserve">As principais práticas contábeis na elaboração das Demonstrações contábeis levam em conta as características qualitativas e quantitativas conforme determina </w:t>
      </w:r>
      <w:proofErr w:type="gramStart"/>
      <w:r>
        <w:rPr>
          <w:rFonts w:ascii="Calibri" w:hAnsi="Calibri" w:cs="Calibri"/>
          <w:sz w:val="23"/>
          <w:szCs w:val="23"/>
        </w:rPr>
        <w:t xml:space="preserve">a  </w:t>
      </w:r>
      <w:r w:rsidRPr="005708E9">
        <w:rPr>
          <w:rFonts w:ascii="Calibri" w:hAnsi="Calibri" w:cs="Calibri"/>
          <w:color w:val="FF0000"/>
          <w:sz w:val="23"/>
          <w:szCs w:val="23"/>
        </w:rPr>
        <w:t>ITG</w:t>
      </w:r>
      <w:proofErr w:type="gramEnd"/>
      <w:r w:rsidRPr="005708E9">
        <w:rPr>
          <w:rFonts w:ascii="Calibri" w:hAnsi="Calibri" w:cs="Calibri"/>
          <w:color w:val="FF0000"/>
          <w:sz w:val="23"/>
          <w:szCs w:val="23"/>
        </w:rPr>
        <w:t xml:space="preserve"> 1000 (Res. do CFC 1418/12)</w:t>
      </w:r>
      <w:r>
        <w:rPr>
          <w:rFonts w:ascii="Calibri" w:hAnsi="Calibri" w:cs="Calibri"/>
          <w:sz w:val="23"/>
          <w:szCs w:val="23"/>
        </w:rPr>
        <w:t>, compreensibilidade, competência, relevância, materialidade, confiabilidade, primazia da essência sobre a forma, prudência, integralidade, comparabilidade e tempestividade, estando assim alinhadas com as Normas Internacionais de Contabilidade.</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NOTA 03 - SUMÁRIO DAS PRINCIPAIS PRÁTICAS CONTÁBEIS</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 xml:space="preserve">Ativo Circulante </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(a)Conversão de Operações em Moeda Estrangeira e Moeda Funcional</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 xml:space="preserve">A moeda funcional da empresa é o Real (R$). Se houverem, direitos e obrigações monetários denominados em moedas estrangeiras são convertidos às taxas de câmbio vigentes na data das demonstrações contábeis. As receitas de vendas, custo e despesas denominadas em moeda estrangeira são convertidas pela taxa média de câmbio do mês de suas ocorrências. </w:t>
      </w:r>
    </w:p>
    <w:p w:rsidR="00A85052" w:rsidRDefault="00A85052" w:rsidP="00A85052">
      <w:pPr>
        <w:autoSpaceDE w:val="0"/>
        <w:autoSpaceDN w:val="0"/>
        <w:adjustRightInd w:val="0"/>
        <w:spacing w:after="0" w:line="360" w:lineRule="auto"/>
        <w:jc w:val="both"/>
        <w:rPr>
          <w:rFonts w:ascii="Calibri" w:hAnsi="Calibri" w:cs="Calibri"/>
          <w:sz w:val="23"/>
          <w:szCs w:val="23"/>
        </w:rPr>
      </w:pPr>
      <w:r>
        <w:rPr>
          <w:rFonts w:ascii="Calibri" w:hAnsi="Calibri" w:cs="Calibri"/>
          <w:sz w:val="23"/>
          <w:szCs w:val="23"/>
        </w:rPr>
        <w:t xml:space="preserve">Ativo Não Circulante </w:t>
      </w:r>
    </w:p>
    <w:p w:rsidR="00A85052" w:rsidRDefault="00A85052" w:rsidP="00A85052">
      <w:pPr>
        <w:autoSpaceDE w:val="0"/>
        <w:autoSpaceDN w:val="0"/>
        <w:adjustRightInd w:val="0"/>
        <w:spacing w:after="0" w:line="360" w:lineRule="auto"/>
        <w:jc w:val="both"/>
        <w:rPr>
          <w:rFonts w:ascii="Calibri" w:hAnsi="Calibri" w:cs="Calibri"/>
          <w:sz w:val="23"/>
          <w:szCs w:val="23"/>
        </w:rPr>
      </w:pPr>
      <w:r>
        <w:rPr>
          <w:rFonts w:ascii="Calibri" w:hAnsi="Calibri" w:cs="Calibri"/>
          <w:sz w:val="23"/>
          <w:szCs w:val="23"/>
        </w:rPr>
        <w:t>(e) Imobilizado</w:t>
      </w:r>
    </w:p>
    <w:p w:rsidR="00A85052" w:rsidRDefault="00A85052" w:rsidP="00A85052">
      <w:pPr>
        <w:autoSpaceDE w:val="0"/>
        <w:autoSpaceDN w:val="0"/>
        <w:adjustRightInd w:val="0"/>
        <w:spacing w:after="0" w:line="360" w:lineRule="auto"/>
        <w:jc w:val="both"/>
        <w:rPr>
          <w:rFonts w:ascii="Calibri" w:hAnsi="Calibri" w:cs="Calibri"/>
          <w:sz w:val="23"/>
          <w:szCs w:val="23"/>
        </w:rPr>
      </w:pPr>
      <w:r>
        <w:rPr>
          <w:rFonts w:ascii="Calibri" w:hAnsi="Calibri" w:cs="Calibri"/>
          <w:sz w:val="23"/>
          <w:szCs w:val="23"/>
        </w:rPr>
        <w:t>O imobilizado está registrado ao custo de aquisição. Os bens são depreciados pelo método linear, com base nas vidas úteis estimadas.</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NOTA 04 - PATRIMÔNIO LÍQUIDO</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1) Capital Social: O capital da empresa em 31 de dezembro de 201</w:t>
      </w:r>
      <w:r w:rsidR="00C450B9">
        <w:rPr>
          <w:rFonts w:ascii="Calibri" w:hAnsi="Calibri" w:cs="Calibri"/>
          <w:sz w:val="23"/>
          <w:szCs w:val="23"/>
        </w:rPr>
        <w:t>7</w:t>
      </w:r>
      <w:r>
        <w:rPr>
          <w:rFonts w:ascii="Calibri" w:hAnsi="Calibri" w:cs="Calibri"/>
          <w:sz w:val="23"/>
          <w:szCs w:val="23"/>
        </w:rPr>
        <w:t xml:space="preserve"> no valor de R$ 5.000,00 (Cinco mil reais) é formado por cotas de capital no valor unitário de R$ 1,00 (um real) cada, referente a 2 (dois) sócios em 31 de dezembro de 201</w:t>
      </w:r>
      <w:r w:rsidR="00C450B9">
        <w:rPr>
          <w:rFonts w:ascii="Calibri" w:hAnsi="Calibri" w:cs="Calibri"/>
          <w:sz w:val="23"/>
          <w:szCs w:val="23"/>
        </w:rPr>
        <w:t>7</w:t>
      </w:r>
      <w:r>
        <w:rPr>
          <w:rFonts w:ascii="Calibri" w:hAnsi="Calibri" w:cs="Calibri"/>
          <w:sz w:val="23"/>
          <w:szCs w:val="23"/>
        </w:rPr>
        <w:t>:</w:t>
      </w:r>
    </w:p>
    <w:p w:rsidR="00A85052" w:rsidRDefault="00A85052" w:rsidP="00A85052">
      <w:pPr>
        <w:autoSpaceDE w:val="0"/>
        <w:autoSpaceDN w:val="0"/>
        <w:adjustRightInd w:val="0"/>
        <w:spacing w:after="0" w:line="360" w:lineRule="auto"/>
        <w:ind w:left="357"/>
        <w:jc w:val="both"/>
        <w:rPr>
          <w:rFonts w:ascii="Calibri" w:hAnsi="Calibri" w:cs="Calibri"/>
          <w:sz w:val="23"/>
          <w:szCs w:val="23"/>
        </w:rPr>
      </w:pPr>
      <w:r>
        <w:rPr>
          <w:rFonts w:ascii="Calibri" w:hAnsi="Calibri" w:cs="Calibri"/>
          <w:sz w:val="23"/>
          <w:szCs w:val="23"/>
        </w:rPr>
        <w:t xml:space="preserve">a) Edson da Silva - 2.550 (Dois mil, quinhentos e cinquenta) cotas. </w:t>
      </w:r>
    </w:p>
    <w:p w:rsidR="00A85052" w:rsidRDefault="00A85052" w:rsidP="00A85052">
      <w:pPr>
        <w:autoSpaceDE w:val="0"/>
        <w:autoSpaceDN w:val="0"/>
        <w:adjustRightInd w:val="0"/>
        <w:spacing w:after="0" w:line="360" w:lineRule="auto"/>
        <w:ind w:left="357"/>
        <w:rPr>
          <w:rFonts w:ascii="Calibri" w:hAnsi="Calibri" w:cs="Calibri"/>
          <w:sz w:val="23"/>
          <w:szCs w:val="23"/>
        </w:rPr>
      </w:pPr>
      <w:r>
        <w:rPr>
          <w:rFonts w:ascii="Calibri" w:hAnsi="Calibri" w:cs="Calibri"/>
          <w:sz w:val="23"/>
          <w:szCs w:val="23"/>
        </w:rPr>
        <w:t xml:space="preserve">b) Maria da Silva - 2.450 (Dois mil, quatrocentos e cinquenta) cotas. </w:t>
      </w:r>
    </w:p>
    <w:p w:rsidR="00A85052" w:rsidRDefault="00A85052" w:rsidP="00A85052">
      <w:pPr>
        <w:autoSpaceDE w:val="0"/>
        <w:autoSpaceDN w:val="0"/>
        <w:adjustRightInd w:val="0"/>
        <w:spacing w:after="0" w:line="360" w:lineRule="auto"/>
        <w:ind w:left="357"/>
        <w:jc w:val="both"/>
        <w:rPr>
          <w:rFonts w:ascii="Calibri" w:hAnsi="Calibri" w:cs="Calibri"/>
          <w:sz w:val="23"/>
          <w:szCs w:val="23"/>
        </w:rPr>
      </w:pP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 xml:space="preserve"> 2) Lucros Distribuídos: No ano de 201</w:t>
      </w:r>
      <w:r w:rsidR="00C450B9">
        <w:rPr>
          <w:rFonts w:ascii="Calibri" w:hAnsi="Calibri" w:cs="Calibri"/>
          <w:sz w:val="23"/>
          <w:szCs w:val="23"/>
        </w:rPr>
        <w:t>7</w:t>
      </w:r>
      <w:r>
        <w:rPr>
          <w:rFonts w:ascii="Calibri" w:hAnsi="Calibri" w:cs="Calibri"/>
          <w:sz w:val="23"/>
          <w:szCs w:val="23"/>
        </w:rPr>
        <w:t xml:space="preserve"> houve distribuição de lucros no valor de R$ 18.000,00 aos sócios: </w:t>
      </w:r>
    </w:p>
    <w:p w:rsidR="00A85052" w:rsidRDefault="00A85052" w:rsidP="00A85052">
      <w:pPr>
        <w:autoSpaceDE w:val="0"/>
        <w:autoSpaceDN w:val="0"/>
        <w:adjustRightInd w:val="0"/>
        <w:spacing w:after="0" w:line="360" w:lineRule="auto"/>
        <w:ind w:left="357"/>
        <w:jc w:val="both"/>
        <w:rPr>
          <w:rFonts w:ascii="Calibri" w:hAnsi="Calibri" w:cs="Calibri"/>
          <w:sz w:val="23"/>
          <w:szCs w:val="23"/>
        </w:rPr>
      </w:pPr>
      <w:r>
        <w:rPr>
          <w:rFonts w:ascii="Calibri" w:hAnsi="Calibri" w:cs="Calibri"/>
          <w:sz w:val="23"/>
          <w:szCs w:val="23"/>
        </w:rPr>
        <w:t>a) Edson da Silva - R$ 9.180,00</w:t>
      </w:r>
    </w:p>
    <w:p w:rsidR="00A85052" w:rsidRDefault="00A85052" w:rsidP="00A85052">
      <w:pPr>
        <w:autoSpaceDE w:val="0"/>
        <w:autoSpaceDN w:val="0"/>
        <w:adjustRightInd w:val="0"/>
        <w:spacing w:after="0" w:line="360" w:lineRule="auto"/>
        <w:ind w:left="357"/>
        <w:rPr>
          <w:rFonts w:ascii="Calibri" w:hAnsi="Calibri" w:cs="Calibri"/>
          <w:sz w:val="23"/>
          <w:szCs w:val="23"/>
        </w:rPr>
      </w:pPr>
      <w:r>
        <w:rPr>
          <w:rFonts w:ascii="Calibri" w:hAnsi="Calibri" w:cs="Calibri"/>
          <w:sz w:val="23"/>
          <w:szCs w:val="23"/>
        </w:rPr>
        <w:t>b) Maria da Silva - R$ 8.820,00</w:t>
      </w:r>
    </w:p>
    <w:p w:rsidR="00A85052" w:rsidRDefault="00A85052" w:rsidP="00A85052">
      <w:pPr>
        <w:autoSpaceDE w:val="0"/>
        <w:autoSpaceDN w:val="0"/>
        <w:adjustRightInd w:val="0"/>
        <w:spacing w:after="0" w:line="360" w:lineRule="auto"/>
        <w:ind w:left="357"/>
        <w:rPr>
          <w:rFonts w:ascii="Calibri" w:hAnsi="Calibri" w:cs="Calibri"/>
          <w:sz w:val="23"/>
          <w:szCs w:val="23"/>
        </w:rPr>
      </w:pP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NOTA 05 - Receitas e Despesas</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A empresa tem como prática a adoção de regime de competência para o registro das mutações patrimoniais ocorridas no exercício, assim como o reconhecimento das receitas e despesas e custos, independente de seu efetivo recebimento ou pagamento.</w:t>
      </w:r>
    </w:p>
    <w:p w:rsidR="00A85052" w:rsidRDefault="00A85052" w:rsidP="00A85052">
      <w:pPr>
        <w:autoSpaceDE w:val="0"/>
        <w:autoSpaceDN w:val="0"/>
        <w:adjustRightInd w:val="0"/>
        <w:spacing w:line="360" w:lineRule="auto"/>
        <w:jc w:val="both"/>
        <w:rPr>
          <w:rFonts w:ascii="Calibri" w:hAnsi="Calibri" w:cs="Calibri"/>
          <w:sz w:val="23"/>
          <w:szCs w:val="23"/>
        </w:rPr>
      </w:pPr>
    </w:p>
    <w:p w:rsidR="00A85052" w:rsidRDefault="00A85052" w:rsidP="00A85052">
      <w:pPr>
        <w:autoSpaceDE w:val="0"/>
        <w:autoSpaceDN w:val="0"/>
        <w:adjustRightInd w:val="0"/>
        <w:spacing w:line="240" w:lineRule="auto"/>
        <w:jc w:val="both"/>
        <w:rPr>
          <w:rFonts w:ascii="Calibri" w:hAnsi="Calibri" w:cs="Calibri"/>
          <w:sz w:val="23"/>
          <w:szCs w:val="23"/>
        </w:rPr>
      </w:pPr>
      <w:r>
        <w:rPr>
          <w:rFonts w:ascii="Calibri" w:hAnsi="Calibri" w:cs="Calibri"/>
          <w:sz w:val="23"/>
          <w:szCs w:val="23"/>
        </w:rPr>
        <w:t>NOTA 06 - Caixa e Equivalentes de Caixa</w:t>
      </w:r>
    </w:p>
    <w:p w:rsidR="00A85052" w:rsidRDefault="00A85052" w:rsidP="00A85052">
      <w:pPr>
        <w:autoSpaceDE w:val="0"/>
        <w:autoSpaceDN w:val="0"/>
        <w:adjustRightInd w:val="0"/>
        <w:spacing w:line="240" w:lineRule="auto"/>
        <w:jc w:val="both"/>
        <w:rPr>
          <w:rFonts w:ascii="Calibri" w:hAnsi="Calibri" w:cs="Calibri"/>
          <w:sz w:val="23"/>
          <w:szCs w:val="23"/>
        </w:rPr>
      </w:pPr>
      <w:r>
        <w:rPr>
          <w:rFonts w:ascii="Calibri" w:hAnsi="Calibri" w:cs="Calibri"/>
          <w:sz w:val="23"/>
          <w:szCs w:val="23"/>
        </w:rPr>
        <w:t xml:space="preserve">                                                                                                                       2016                    2015</w:t>
      </w:r>
    </w:p>
    <w:p w:rsidR="00A85052" w:rsidRDefault="00A85052" w:rsidP="00A85052">
      <w:pPr>
        <w:autoSpaceDE w:val="0"/>
        <w:autoSpaceDN w:val="0"/>
        <w:adjustRightInd w:val="0"/>
        <w:spacing w:after="0" w:line="240" w:lineRule="auto"/>
        <w:jc w:val="both"/>
        <w:rPr>
          <w:rFonts w:ascii="Calibri" w:hAnsi="Calibri" w:cs="Calibri"/>
          <w:sz w:val="23"/>
          <w:szCs w:val="23"/>
        </w:rPr>
      </w:pPr>
      <w:r>
        <w:rPr>
          <w:rFonts w:ascii="Calibri" w:hAnsi="Calibri" w:cs="Calibri"/>
          <w:sz w:val="23"/>
          <w:szCs w:val="23"/>
        </w:rPr>
        <w:t>Caixa                                                                                                      18.937,84                3.517,70</w:t>
      </w:r>
    </w:p>
    <w:p w:rsidR="00A85052" w:rsidRDefault="00A85052" w:rsidP="00A85052">
      <w:pPr>
        <w:autoSpaceDE w:val="0"/>
        <w:autoSpaceDN w:val="0"/>
        <w:adjustRightInd w:val="0"/>
        <w:spacing w:after="0" w:line="240" w:lineRule="auto"/>
        <w:jc w:val="both"/>
        <w:rPr>
          <w:rFonts w:ascii="Calibri" w:hAnsi="Calibri" w:cs="Calibri"/>
          <w:sz w:val="23"/>
          <w:szCs w:val="23"/>
        </w:rPr>
      </w:pPr>
      <w:r>
        <w:rPr>
          <w:rFonts w:ascii="Calibri" w:hAnsi="Calibri" w:cs="Calibri"/>
          <w:sz w:val="23"/>
          <w:szCs w:val="23"/>
        </w:rPr>
        <w:t>Depósitos Bancários                                                                                  67,12                 2.703,97</w:t>
      </w:r>
    </w:p>
    <w:p w:rsidR="00A85052" w:rsidRDefault="00A85052" w:rsidP="00A85052">
      <w:pPr>
        <w:autoSpaceDE w:val="0"/>
        <w:autoSpaceDN w:val="0"/>
        <w:adjustRightInd w:val="0"/>
        <w:spacing w:after="0" w:line="240" w:lineRule="auto"/>
        <w:jc w:val="both"/>
        <w:rPr>
          <w:rFonts w:ascii="Calibri" w:hAnsi="Calibri" w:cs="Calibri"/>
          <w:sz w:val="23"/>
          <w:szCs w:val="23"/>
        </w:rPr>
      </w:pPr>
      <w:r>
        <w:rPr>
          <w:rFonts w:ascii="Calibri" w:hAnsi="Calibri" w:cs="Calibri"/>
          <w:sz w:val="23"/>
          <w:szCs w:val="23"/>
        </w:rPr>
        <w:lastRenderedPageBreak/>
        <w:t xml:space="preserve">Total de Caixa e Equivalente de Caixa                                       </w:t>
      </w:r>
      <w:proofErr w:type="gramStart"/>
      <w:r>
        <w:rPr>
          <w:rFonts w:ascii="Calibri" w:hAnsi="Calibri" w:cs="Calibri"/>
          <w:sz w:val="23"/>
          <w:szCs w:val="23"/>
        </w:rPr>
        <w:tab/>
        <w:t xml:space="preserve">  19.004</w:t>
      </w:r>
      <w:proofErr w:type="gramEnd"/>
      <w:r>
        <w:rPr>
          <w:rFonts w:ascii="Calibri" w:hAnsi="Calibri" w:cs="Calibri"/>
          <w:sz w:val="23"/>
          <w:szCs w:val="23"/>
        </w:rPr>
        <w:t>,96                6.221,67</w:t>
      </w:r>
    </w:p>
    <w:p w:rsidR="00A85052" w:rsidRDefault="00A85052" w:rsidP="00A85052">
      <w:pPr>
        <w:autoSpaceDE w:val="0"/>
        <w:autoSpaceDN w:val="0"/>
        <w:adjustRightInd w:val="0"/>
        <w:spacing w:before="240" w:line="360" w:lineRule="auto"/>
        <w:jc w:val="both"/>
        <w:rPr>
          <w:rFonts w:ascii="Calibri" w:hAnsi="Calibri" w:cs="Calibri"/>
          <w:sz w:val="23"/>
          <w:szCs w:val="23"/>
        </w:rPr>
      </w:pPr>
    </w:p>
    <w:p w:rsidR="00A85052" w:rsidRDefault="00A85052" w:rsidP="00A85052">
      <w:pPr>
        <w:autoSpaceDE w:val="0"/>
        <w:autoSpaceDN w:val="0"/>
        <w:adjustRightInd w:val="0"/>
        <w:spacing w:before="240" w:line="360" w:lineRule="auto"/>
        <w:jc w:val="both"/>
        <w:rPr>
          <w:rFonts w:ascii="Calibri" w:hAnsi="Calibri" w:cs="Calibri"/>
          <w:sz w:val="23"/>
          <w:szCs w:val="23"/>
        </w:rPr>
      </w:pPr>
      <w:r>
        <w:rPr>
          <w:rFonts w:ascii="Calibri" w:hAnsi="Calibri" w:cs="Calibri"/>
          <w:sz w:val="23"/>
          <w:szCs w:val="23"/>
        </w:rPr>
        <w:t>NOTA 06 - Demonstração do Resultado Abrangente</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Não foi transcrita a Demonstração do Resultado Abrangente (DRA), pois, não houve mutação no patrimônio Líquido durante os exercícios comparados, resultante de transações e outros eventos que não são derivados de transação com os sócios (item 3.18 da Res. do CFC 1255/2009).</w:t>
      </w:r>
    </w:p>
    <w:p w:rsidR="00A85052" w:rsidRDefault="00A85052" w:rsidP="00A85052">
      <w:pPr>
        <w:autoSpaceDE w:val="0"/>
        <w:autoSpaceDN w:val="0"/>
        <w:adjustRightInd w:val="0"/>
        <w:spacing w:line="360" w:lineRule="auto"/>
        <w:jc w:val="both"/>
        <w:rPr>
          <w:rFonts w:ascii="Calibri" w:hAnsi="Calibri" w:cs="Calibri"/>
          <w:sz w:val="23"/>
          <w:szCs w:val="23"/>
        </w:rPr>
      </w:pP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NOTA 07 - Demonstração de Fluxo de Caixa</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A empresa optou pela transcrição da Demonstração do Fluxo de Caixa pelo Método Direto.</w:t>
      </w:r>
    </w:p>
    <w:p w:rsidR="00A85052" w:rsidRDefault="00A85052" w:rsidP="00A85052">
      <w:pPr>
        <w:autoSpaceDE w:val="0"/>
        <w:autoSpaceDN w:val="0"/>
        <w:adjustRightInd w:val="0"/>
        <w:spacing w:line="360" w:lineRule="auto"/>
        <w:jc w:val="both"/>
        <w:rPr>
          <w:rFonts w:ascii="Calibri" w:hAnsi="Calibri" w:cs="Calibri"/>
          <w:sz w:val="23"/>
          <w:szCs w:val="23"/>
        </w:rPr>
      </w:pP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NOTA 08 - Até 31 de dezembro de 201</w:t>
      </w:r>
      <w:r w:rsidR="00C450B9">
        <w:rPr>
          <w:rFonts w:ascii="Calibri" w:hAnsi="Calibri" w:cs="Calibri"/>
          <w:sz w:val="23"/>
          <w:szCs w:val="23"/>
        </w:rPr>
        <w:t>7</w:t>
      </w:r>
      <w:r>
        <w:rPr>
          <w:rFonts w:ascii="Calibri" w:hAnsi="Calibri" w:cs="Calibri"/>
          <w:sz w:val="23"/>
          <w:szCs w:val="23"/>
        </w:rPr>
        <w:t>, o administrador da empresa optou pela contratação de contabilidade terceirizada, a qual se encontra perfeitamente atinada à legislação profissional, e estando assim, regulamentada pelo Conselho Federal de Contabilidade no que tange a questão ética profissional e ainda conforme previsto em cláusulas contratuais. Assim, a administração da empresa, declara que tomou ciência do conteúdo do aludido contrato em todos os seus termos. Os resultados produzidos são frutos do documental remetido para contabilização pela administração da empresa, respondendo esta, pela veracidade, integridade e procedência. A administração encontra-se ciente de toda a legislação aqui aplicável, especialmente ao tocante a Lei 11.101/2005 que informa das responsabilidades quanto às documentações e procedimentos. A responsabilidade do profissional do contabilista</w:t>
      </w:r>
      <w:r w:rsidR="00C450B9">
        <w:rPr>
          <w:rFonts w:ascii="Calibri" w:hAnsi="Calibri" w:cs="Calibri"/>
          <w:sz w:val="23"/>
          <w:szCs w:val="23"/>
        </w:rPr>
        <w:t>,</w:t>
      </w:r>
      <w:r>
        <w:rPr>
          <w:rFonts w:ascii="Calibri" w:hAnsi="Calibri" w:cs="Calibri"/>
          <w:sz w:val="23"/>
          <w:szCs w:val="23"/>
        </w:rPr>
        <w:t xml:space="preserve"> que referenda estas demonstrações contábeis</w:t>
      </w:r>
      <w:r w:rsidR="00C450B9">
        <w:rPr>
          <w:rFonts w:ascii="Calibri" w:hAnsi="Calibri" w:cs="Calibri"/>
          <w:sz w:val="23"/>
          <w:szCs w:val="23"/>
        </w:rPr>
        <w:t>,</w:t>
      </w:r>
      <w:r>
        <w:rPr>
          <w:rFonts w:ascii="Calibri" w:hAnsi="Calibri" w:cs="Calibri"/>
          <w:sz w:val="23"/>
          <w:szCs w:val="23"/>
        </w:rPr>
        <w:t xml:space="preserve"> está limitada os fatos efetivamente notificados pela administração da empresa a este profissional.</w:t>
      </w:r>
    </w:p>
    <w:p w:rsidR="00A85052" w:rsidRDefault="00A85052" w:rsidP="00A85052">
      <w:pPr>
        <w:autoSpaceDE w:val="0"/>
        <w:autoSpaceDN w:val="0"/>
        <w:adjustRightInd w:val="0"/>
        <w:spacing w:line="360" w:lineRule="auto"/>
        <w:jc w:val="both"/>
        <w:rPr>
          <w:rFonts w:ascii="Calibri" w:hAnsi="Calibri" w:cs="Calibri"/>
          <w:sz w:val="23"/>
          <w:szCs w:val="23"/>
        </w:rPr>
      </w:pP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NOTA 09 - Eventos Subsequentes</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A empresa não incorreu em eventos subsequentes favoráveis e desfavoráveis entre o final do período contábil e a data da aprovação das demonstrações contábeis.</w:t>
      </w:r>
    </w:p>
    <w:p w:rsidR="00A85052" w:rsidRDefault="00A85052" w:rsidP="00A85052">
      <w:pPr>
        <w:autoSpaceDE w:val="0"/>
        <w:autoSpaceDN w:val="0"/>
        <w:adjustRightInd w:val="0"/>
        <w:spacing w:line="360" w:lineRule="auto"/>
        <w:jc w:val="both"/>
        <w:rPr>
          <w:rFonts w:ascii="Calibri" w:hAnsi="Calibri" w:cs="Calibri"/>
          <w:sz w:val="23"/>
          <w:szCs w:val="23"/>
        </w:rPr>
      </w:pP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NOTA 10 - Continuidade dos Negócios</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A empresa está operando em sua capacidade plena sob o critério da continuidade das suas atividades empresariais, não havendo qualquer previsão em contrário nos próximos 12 meses.</w:t>
      </w:r>
    </w:p>
    <w:p w:rsidR="00A85052" w:rsidRDefault="00A85052" w:rsidP="00A85052">
      <w:pPr>
        <w:autoSpaceDE w:val="0"/>
        <w:autoSpaceDN w:val="0"/>
        <w:adjustRightInd w:val="0"/>
        <w:spacing w:line="360" w:lineRule="auto"/>
        <w:jc w:val="both"/>
        <w:rPr>
          <w:rFonts w:ascii="Calibri" w:hAnsi="Calibri" w:cs="Calibri"/>
          <w:sz w:val="23"/>
          <w:szCs w:val="23"/>
        </w:rPr>
      </w:pPr>
      <w:r>
        <w:rPr>
          <w:rFonts w:ascii="Calibri" w:hAnsi="Calibri" w:cs="Calibri"/>
          <w:sz w:val="23"/>
          <w:szCs w:val="23"/>
        </w:rPr>
        <w:t>Londrina, 31 de dezembro de 201</w:t>
      </w:r>
      <w:r w:rsidR="00C450B9">
        <w:rPr>
          <w:rFonts w:ascii="Calibri" w:hAnsi="Calibri" w:cs="Calibri"/>
          <w:sz w:val="23"/>
          <w:szCs w:val="23"/>
        </w:rPr>
        <w:t>7</w:t>
      </w:r>
      <w:bookmarkStart w:id="0" w:name="_GoBack"/>
      <w:bookmarkEnd w:id="0"/>
      <w:r>
        <w:rPr>
          <w:rFonts w:ascii="Calibri" w:hAnsi="Calibri" w:cs="Calibri"/>
          <w:sz w:val="23"/>
          <w:szCs w:val="23"/>
        </w:rPr>
        <w:t>.</w:t>
      </w:r>
    </w:p>
    <w:sectPr w:rsidR="00A85052" w:rsidSect="00A51A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7B92"/>
    <w:multiLevelType w:val="hybridMultilevel"/>
    <w:tmpl w:val="4154905C"/>
    <w:lvl w:ilvl="0" w:tplc="7C2C2A04">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29D17253"/>
    <w:multiLevelType w:val="hybridMultilevel"/>
    <w:tmpl w:val="86E4734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F8F338C"/>
    <w:multiLevelType w:val="hybridMultilevel"/>
    <w:tmpl w:val="CFDCAFEA"/>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78BF0CFF"/>
    <w:multiLevelType w:val="hybridMultilevel"/>
    <w:tmpl w:val="AC8ACCB8"/>
    <w:lvl w:ilvl="0" w:tplc="C106A1D4">
      <w:start w:val="1"/>
      <w:numFmt w:val="upperLetter"/>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5FB3"/>
    <w:rsid w:val="00062F94"/>
    <w:rsid w:val="00082334"/>
    <w:rsid w:val="00086FEB"/>
    <w:rsid w:val="000E488E"/>
    <w:rsid w:val="0012291A"/>
    <w:rsid w:val="001435ED"/>
    <w:rsid w:val="001F30F7"/>
    <w:rsid w:val="001F7883"/>
    <w:rsid w:val="002279EC"/>
    <w:rsid w:val="00233C70"/>
    <w:rsid w:val="00264AE7"/>
    <w:rsid w:val="00302C19"/>
    <w:rsid w:val="00322FC5"/>
    <w:rsid w:val="00355522"/>
    <w:rsid w:val="0042032E"/>
    <w:rsid w:val="00422423"/>
    <w:rsid w:val="004363D1"/>
    <w:rsid w:val="004511B3"/>
    <w:rsid w:val="004C76AB"/>
    <w:rsid w:val="004F6B13"/>
    <w:rsid w:val="005708E9"/>
    <w:rsid w:val="005B4C7B"/>
    <w:rsid w:val="00675B7C"/>
    <w:rsid w:val="00693AA2"/>
    <w:rsid w:val="00696CF6"/>
    <w:rsid w:val="006B494A"/>
    <w:rsid w:val="006E2866"/>
    <w:rsid w:val="007005F1"/>
    <w:rsid w:val="00703E1F"/>
    <w:rsid w:val="00714634"/>
    <w:rsid w:val="007302D9"/>
    <w:rsid w:val="00733A0F"/>
    <w:rsid w:val="00777B79"/>
    <w:rsid w:val="007A5C56"/>
    <w:rsid w:val="007B13D3"/>
    <w:rsid w:val="00846D3B"/>
    <w:rsid w:val="008601E1"/>
    <w:rsid w:val="008729DE"/>
    <w:rsid w:val="008C1814"/>
    <w:rsid w:val="008D026C"/>
    <w:rsid w:val="008E5FB3"/>
    <w:rsid w:val="009923CD"/>
    <w:rsid w:val="009C4705"/>
    <w:rsid w:val="009E11A2"/>
    <w:rsid w:val="00A0358D"/>
    <w:rsid w:val="00A04429"/>
    <w:rsid w:val="00A11AE5"/>
    <w:rsid w:val="00A178F9"/>
    <w:rsid w:val="00A32799"/>
    <w:rsid w:val="00A51A6E"/>
    <w:rsid w:val="00A75FAE"/>
    <w:rsid w:val="00A85052"/>
    <w:rsid w:val="00AB57F2"/>
    <w:rsid w:val="00AC08B2"/>
    <w:rsid w:val="00AC6D48"/>
    <w:rsid w:val="00B15A73"/>
    <w:rsid w:val="00B731C7"/>
    <w:rsid w:val="00BC4A30"/>
    <w:rsid w:val="00C42FD5"/>
    <w:rsid w:val="00C450B9"/>
    <w:rsid w:val="00CA1A32"/>
    <w:rsid w:val="00D56DC0"/>
    <w:rsid w:val="00D937CF"/>
    <w:rsid w:val="00DB30B9"/>
    <w:rsid w:val="00DC0DB2"/>
    <w:rsid w:val="00DD1A16"/>
    <w:rsid w:val="00E060C5"/>
    <w:rsid w:val="00E51FD3"/>
    <w:rsid w:val="00E54C8D"/>
    <w:rsid w:val="00E843B2"/>
    <w:rsid w:val="00EC30C2"/>
    <w:rsid w:val="00ED5869"/>
    <w:rsid w:val="00F02AA1"/>
    <w:rsid w:val="00F104F6"/>
    <w:rsid w:val="00F57269"/>
    <w:rsid w:val="00FA1985"/>
    <w:rsid w:val="00FA27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887A"/>
  <w15:docId w15:val="{5886C670-574E-48EE-BACC-68303C73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F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E5FB3"/>
    <w:pPr>
      <w:ind w:left="720"/>
      <w:contextualSpacing/>
    </w:pPr>
  </w:style>
  <w:style w:type="table" w:styleId="Tabelacomgrade">
    <w:name w:val="Table Grid"/>
    <w:basedOn w:val="Tabelanormal"/>
    <w:uiPriority w:val="59"/>
    <w:rsid w:val="008E5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B4508-949E-4EAD-899F-6747128B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903</Words>
  <Characters>4878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escritorio</dc:creator>
  <cp:lastModifiedBy>comunicacao</cp:lastModifiedBy>
  <cp:revision>9</cp:revision>
  <dcterms:created xsi:type="dcterms:W3CDTF">2017-12-08T10:38:00Z</dcterms:created>
  <dcterms:modified xsi:type="dcterms:W3CDTF">2017-12-08T19:55:00Z</dcterms:modified>
</cp:coreProperties>
</file>