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6AB" w:rsidRDefault="004C76AB" w:rsidP="004C76AB">
      <w:pPr>
        <w:jc w:val="both"/>
        <w:rPr>
          <w:rFonts w:cs="Arial"/>
          <w:sz w:val="23"/>
          <w:szCs w:val="23"/>
        </w:rPr>
      </w:pPr>
      <w:r w:rsidRPr="004C76AB">
        <w:rPr>
          <w:rFonts w:cs="Arial"/>
          <w:sz w:val="23"/>
          <w:szCs w:val="23"/>
        </w:rPr>
        <w:t>NOTA 01 - CONTEXTO OPERACIONAL</w:t>
      </w:r>
    </w:p>
    <w:p w:rsidR="00082334" w:rsidRPr="004C76AB" w:rsidRDefault="00082334" w:rsidP="004C76AB">
      <w:pPr>
        <w:jc w:val="both"/>
        <w:rPr>
          <w:rFonts w:cs="Arial"/>
          <w:sz w:val="23"/>
          <w:szCs w:val="23"/>
        </w:rPr>
      </w:pPr>
    </w:p>
    <w:p w:rsidR="00082334" w:rsidRPr="004C76AB" w:rsidRDefault="00082334" w:rsidP="00082334">
      <w:pPr>
        <w:jc w:val="both"/>
        <w:rPr>
          <w:rFonts w:cs="Arial"/>
          <w:sz w:val="23"/>
          <w:szCs w:val="23"/>
        </w:rPr>
      </w:pPr>
      <w:r>
        <w:rPr>
          <w:rFonts w:cs="Arial"/>
          <w:sz w:val="23"/>
          <w:szCs w:val="23"/>
        </w:rPr>
        <w:t>A</w:t>
      </w:r>
      <w:r w:rsidRPr="004C76AB">
        <w:rPr>
          <w:rFonts w:cs="Arial"/>
          <w:sz w:val="23"/>
          <w:szCs w:val="23"/>
        </w:rPr>
        <w:t xml:space="preserve"> </w:t>
      </w:r>
      <w:r w:rsidR="008601E1">
        <w:rPr>
          <w:rFonts w:cs="Arial"/>
          <w:sz w:val="23"/>
          <w:szCs w:val="23"/>
        </w:rPr>
        <w:t>_________________________</w:t>
      </w:r>
      <w:r w:rsidRPr="004C76AB">
        <w:rPr>
          <w:rFonts w:cs="Arial"/>
          <w:sz w:val="23"/>
          <w:szCs w:val="23"/>
        </w:rPr>
        <w:t xml:space="preserve"> é uma pessoa jurídica de direito privado, com fins lucrativos, tributada pelo </w:t>
      </w:r>
      <w:r w:rsidRPr="00322FC5">
        <w:rPr>
          <w:rFonts w:cs="Arial"/>
          <w:color w:val="FF0000"/>
          <w:sz w:val="23"/>
          <w:szCs w:val="23"/>
        </w:rPr>
        <w:t>Lucro Presumido</w:t>
      </w:r>
      <w:r>
        <w:rPr>
          <w:rFonts w:cs="Arial"/>
          <w:sz w:val="23"/>
          <w:szCs w:val="23"/>
        </w:rPr>
        <w:t xml:space="preserve">, com sede e foro na Av. </w:t>
      </w:r>
      <w:r w:rsidR="008601E1">
        <w:rPr>
          <w:rFonts w:cs="Arial"/>
          <w:sz w:val="23"/>
          <w:szCs w:val="23"/>
        </w:rPr>
        <w:t>______________________</w:t>
      </w:r>
      <w:r w:rsidRPr="004C76AB">
        <w:rPr>
          <w:rFonts w:cs="Arial"/>
          <w:sz w:val="23"/>
          <w:szCs w:val="23"/>
        </w:rPr>
        <w:t>, Londrina-PR. CEP</w:t>
      </w:r>
      <w:r>
        <w:rPr>
          <w:rFonts w:cs="Arial"/>
          <w:sz w:val="23"/>
          <w:szCs w:val="23"/>
        </w:rPr>
        <w:t xml:space="preserve"> </w:t>
      </w:r>
      <w:r w:rsidR="008601E1">
        <w:rPr>
          <w:rFonts w:cs="Arial"/>
          <w:sz w:val="23"/>
          <w:szCs w:val="23"/>
        </w:rPr>
        <w:t>____________</w:t>
      </w:r>
      <w:r w:rsidRPr="004C76AB">
        <w:rPr>
          <w:rFonts w:cs="Arial"/>
          <w:sz w:val="23"/>
          <w:szCs w:val="23"/>
        </w:rPr>
        <w:t>,</w:t>
      </w:r>
      <w:r>
        <w:rPr>
          <w:rFonts w:cs="Arial"/>
          <w:sz w:val="23"/>
          <w:szCs w:val="23"/>
        </w:rPr>
        <w:t xml:space="preserve"> NIRE </w:t>
      </w:r>
      <w:r w:rsidR="008601E1">
        <w:rPr>
          <w:rFonts w:cs="Arial"/>
          <w:sz w:val="23"/>
          <w:szCs w:val="23"/>
        </w:rPr>
        <w:t>__________________</w:t>
      </w:r>
      <w:r>
        <w:rPr>
          <w:rFonts w:cs="Arial"/>
          <w:sz w:val="23"/>
          <w:szCs w:val="23"/>
        </w:rPr>
        <w:t xml:space="preserve">, CNPJ </w:t>
      </w:r>
      <w:r w:rsidR="008601E1">
        <w:rPr>
          <w:rFonts w:cs="Arial"/>
          <w:sz w:val="23"/>
          <w:szCs w:val="23"/>
        </w:rPr>
        <w:t>__________________</w:t>
      </w:r>
      <w:r>
        <w:rPr>
          <w:rFonts w:cs="Arial"/>
          <w:sz w:val="23"/>
          <w:szCs w:val="23"/>
        </w:rPr>
        <w:t xml:space="preserve">, aberta desde </w:t>
      </w:r>
      <w:r w:rsidR="008601E1">
        <w:rPr>
          <w:rFonts w:cs="Arial"/>
          <w:sz w:val="23"/>
          <w:szCs w:val="23"/>
        </w:rPr>
        <w:t>___/___/_______</w:t>
      </w:r>
      <w:r w:rsidRPr="004C76AB">
        <w:rPr>
          <w:rFonts w:cs="Arial"/>
          <w:sz w:val="23"/>
          <w:szCs w:val="23"/>
        </w:rPr>
        <w:t>, por prazo indeterminado, com atividade econômica de prestação de serviços</w:t>
      </w:r>
      <w:r>
        <w:rPr>
          <w:rFonts w:cs="Arial"/>
          <w:sz w:val="23"/>
          <w:szCs w:val="23"/>
        </w:rPr>
        <w:t xml:space="preserve"> em </w:t>
      </w:r>
      <w:r w:rsidR="008601E1">
        <w:rPr>
          <w:rFonts w:cs="Arial"/>
          <w:sz w:val="23"/>
          <w:szCs w:val="23"/>
        </w:rPr>
        <w:t>______________________________.</w:t>
      </w:r>
    </w:p>
    <w:p w:rsidR="008729DE" w:rsidRPr="004C76AB" w:rsidRDefault="008729DE" w:rsidP="004C76AB">
      <w:pPr>
        <w:jc w:val="both"/>
        <w:rPr>
          <w:rFonts w:cs="Arial"/>
          <w:sz w:val="23"/>
          <w:szCs w:val="23"/>
        </w:rPr>
      </w:pPr>
    </w:p>
    <w:p w:rsidR="004C76AB" w:rsidRDefault="004C76AB" w:rsidP="004C76AB">
      <w:pPr>
        <w:jc w:val="both"/>
        <w:rPr>
          <w:rFonts w:cs="Arial"/>
          <w:sz w:val="23"/>
          <w:szCs w:val="23"/>
        </w:rPr>
      </w:pPr>
      <w:r w:rsidRPr="004C76AB">
        <w:rPr>
          <w:rFonts w:cs="Arial"/>
          <w:sz w:val="23"/>
          <w:szCs w:val="23"/>
        </w:rPr>
        <w:t>NOTA 02 - APRESENTAÇÃO DAS DEMONSTRAÇÕES CONTÁBEIS</w:t>
      </w:r>
    </w:p>
    <w:p w:rsidR="004C76AB" w:rsidRPr="004C76AB" w:rsidRDefault="004C76AB" w:rsidP="004C76AB">
      <w:pPr>
        <w:jc w:val="both"/>
        <w:rPr>
          <w:rFonts w:cs="Arial"/>
          <w:sz w:val="23"/>
          <w:szCs w:val="23"/>
        </w:rPr>
      </w:pPr>
      <w:r w:rsidRPr="004C76AB">
        <w:rPr>
          <w:rFonts w:cs="Arial"/>
          <w:sz w:val="23"/>
          <w:szCs w:val="23"/>
        </w:rPr>
        <w:t>As Demonstrações Contábeis comparativas, encerradas em 31 de dezembro de 201</w:t>
      </w:r>
      <w:r w:rsidR="00F425C6">
        <w:rPr>
          <w:rFonts w:cs="Arial"/>
          <w:sz w:val="23"/>
          <w:szCs w:val="23"/>
        </w:rPr>
        <w:t>7</w:t>
      </w:r>
      <w:r w:rsidRPr="004C76AB">
        <w:rPr>
          <w:rFonts w:cs="Arial"/>
          <w:sz w:val="23"/>
          <w:szCs w:val="23"/>
        </w:rPr>
        <w:t xml:space="preserve"> e 31 de dezembro de 201</w:t>
      </w:r>
      <w:r w:rsidR="00F425C6">
        <w:rPr>
          <w:rFonts w:cs="Arial"/>
          <w:sz w:val="23"/>
          <w:szCs w:val="23"/>
        </w:rPr>
        <w:t>6</w:t>
      </w:r>
      <w:r w:rsidRPr="004C76AB">
        <w:rPr>
          <w:rFonts w:cs="Arial"/>
          <w:sz w:val="23"/>
          <w:szCs w:val="23"/>
        </w:rPr>
        <w:t xml:space="preserve">, </w:t>
      </w:r>
      <w:r w:rsidR="00E54C8D">
        <w:rPr>
          <w:rFonts w:cs="Arial"/>
          <w:sz w:val="23"/>
          <w:szCs w:val="23"/>
        </w:rPr>
        <w:t>aqui compreendida</w:t>
      </w:r>
      <w:r w:rsidRPr="004C76AB">
        <w:rPr>
          <w:rFonts w:cs="Arial"/>
          <w:sz w:val="23"/>
          <w:szCs w:val="23"/>
        </w:rPr>
        <w:t xml:space="preserve">s: Balanço Patrimonial, Demonstração do Resultado (DRE), Demonstração das Mutações do Patrimônio Líquido (DMPL) e Demonstração dos Fluxos de Caixa (DFC), foram </w:t>
      </w:r>
      <w:proofErr w:type="gramStart"/>
      <w:r w:rsidR="00E54C8D" w:rsidRPr="004C76AB">
        <w:rPr>
          <w:rFonts w:cs="Arial"/>
          <w:sz w:val="23"/>
          <w:szCs w:val="23"/>
        </w:rPr>
        <w:t>elaborados</w:t>
      </w:r>
      <w:r w:rsidRPr="004C76AB">
        <w:rPr>
          <w:rFonts w:cs="Arial"/>
          <w:sz w:val="23"/>
          <w:szCs w:val="23"/>
        </w:rPr>
        <w:t xml:space="preserve">  a</w:t>
      </w:r>
      <w:proofErr w:type="gramEnd"/>
      <w:r w:rsidRPr="004C76AB">
        <w:rPr>
          <w:rFonts w:cs="Arial"/>
          <w:sz w:val="23"/>
          <w:szCs w:val="23"/>
        </w:rPr>
        <w:t xml:space="preserve"> partir das diretrizes contábeis e dos Princípios Contábeis.</w:t>
      </w:r>
    </w:p>
    <w:p w:rsidR="004C76AB" w:rsidRPr="004C76AB" w:rsidRDefault="004C76AB" w:rsidP="004C76AB">
      <w:pPr>
        <w:jc w:val="both"/>
        <w:rPr>
          <w:rFonts w:cs="Arial"/>
          <w:sz w:val="23"/>
          <w:szCs w:val="23"/>
        </w:rPr>
      </w:pPr>
      <w:r w:rsidRPr="004C76AB">
        <w:rPr>
          <w:rFonts w:cs="Arial"/>
          <w:sz w:val="23"/>
          <w:szCs w:val="23"/>
        </w:rPr>
        <w:t>Para efeito de comparação as Demonstrações Contábeis foram elaboradas de maneira uniforme entre os períodos (</w:t>
      </w:r>
      <w:proofErr w:type="gramStart"/>
      <w:r w:rsidRPr="004C76AB">
        <w:rPr>
          <w:rFonts w:cs="Arial"/>
          <w:sz w:val="23"/>
          <w:szCs w:val="23"/>
        </w:rPr>
        <w:t>Dezembro</w:t>
      </w:r>
      <w:proofErr w:type="gramEnd"/>
      <w:r w:rsidRPr="004C76AB">
        <w:rPr>
          <w:rFonts w:cs="Arial"/>
          <w:sz w:val="23"/>
          <w:szCs w:val="23"/>
        </w:rPr>
        <w:t>/201</w:t>
      </w:r>
      <w:r w:rsidR="00F425C6">
        <w:rPr>
          <w:rFonts w:cs="Arial"/>
          <w:sz w:val="23"/>
          <w:szCs w:val="23"/>
        </w:rPr>
        <w:t>7</w:t>
      </w:r>
      <w:r w:rsidRPr="004C76AB">
        <w:rPr>
          <w:rFonts w:cs="Arial"/>
          <w:sz w:val="23"/>
          <w:szCs w:val="23"/>
        </w:rPr>
        <w:t xml:space="preserve"> e Dezembro/201</w:t>
      </w:r>
      <w:r w:rsidR="00F425C6">
        <w:rPr>
          <w:rFonts w:cs="Arial"/>
          <w:sz w:val="23"/>
          <w:szCs w:val="23"/>
        </w:rPr>
        <w:t>6</w:t>
      </w:r>
      <w:r w:rsidRPr="004C76AB">
        <w:rPr>
          <w:rFonts w:cs="Arial"/>
          <w:sz w:val="23"/>
          <w:szCs w:val="23"/>
        </w:rPr>
        <w:t xml:space="preserve">), facilitando a leitura das informações, qualquer discrepância será objeto de adendo específico nestas Notas Explicativas.   </w:t>
      </w:r>
    </w:p>
    <w:p w:rsidR="004C76AB" w:rsidRPr="004C76AB" w:rsidRDefault="004C76AB" w:rsidP="004C76AB">
      <w:pPr>
        <w:jc w:val="both"/>
        <w:rPr>
          <w:rFonts w:cs="Arial"/>
          <w:sz w:val="23"/>
          <w:szCs w:val="23"/>
        </w:rPr>
      </w:pPr>
      <w:r w:rsidRPr="004C76AB">
        <w:rPr>
          <w:rFonts w:cs="Arial"/>
          <w:sz w:val="23"/>
          <w:szCs w:val="23"/>
        </w:rPr>
        <w:t>O resultado é apurado de acordo com o regime de competência, que estabelece que as receitas e despesas devem ser incluídas na apuração dos resultados dos períodos em que ocorrem, sempre quando se correlacionarem, independentemente de recebimento ou pagamento.</w:t>
      </w:r>
    </w:p>
    <w:p w:rsidR="004C76AB" w:rsidRPr="004C76AB" w:rsidRDefault="004C76AB" w:rsidP="004C76AB">
      <w:pPr>
        <w:jc w:val="both"/>
        <w:rPr>
          <w:rFonts w:cs="Arial"/>
          <w:sz w:val="23"/>
          <w:szCs w:val="23"/>
        </w:rPr>
      </w:pPr>
      <w:r w:rsidRPr="004C76AB">
        <w:rPr>
          <w:rFonts w:cs="Arial"/>
          <w:sz w:val="23"/>
          <w:szCs w:val="23"/>
        </w:rPr>
        <w:t xml:space="preserve">As principais práticas contábeis na elaboração das Demonstrações contábeis levam em conta as características qualitativas e quantitativas conforme determina a </w:t>
      </w:r>
      <w:r w:rsidRPr="00322FC5">
        <w:rPr>
          <w:rFonts w:cs="Arial"/>
          <w:color w:val="FF0000"/>
          <w:sz w:val="23"/>
          <w:szCs w:val="23"/>
        </w:rPr>
        <w:t>NBC TG 1000 (Res. do CFC 1255/09)</w:t>
      </w:r>
      <w:r w:rsidRPr="004C76AB">
        <w:rPr>
          <w:rFonts w:cs="Arial"/>
          <w:sz w:val="23"/>
          <w:szCs w:val="23"/>
        </w:rPr>
        <w:t>, compreensibilidade, competência, relevância, materialidade, confiabilidade, primazia da essência sobre a forma, prudência, integralidade, comparabilidade e tempestividade, estando assim alinhadas com as Normas Internacionais de Contabilidade.</w:t>
      </w:r>
    </w:p>
    <w:p w:rsidR="004C76AB" w:rsidRPr="004C76AB" w:rsidRDefault="004C76AB" w:rsidP="004C76AB">
      <w:pPr>
        <w:jc w:val="both"/>
        <w:rPr>
          <w:rFonts w:cs="Arial"/>
          <w:sz w:val="23"/>
          <w:szCs w:val="23"/>
        </w:rPr>
      </w:pPr>
    </w:p>
    <w:p w:rsidR="004C76AB" w:rsidRPr="004C76AB" w:rsidRDefault="004C76AB" w:rsidP="004C76AB">
      <w:pPr>
        <w:jc w:val="both"/>
        <w:rPr>
          <w:rFonts w:cs="Arial"/>
          <w:sz w:val="23"/>
          <w:szCs w:val="23"/>
        </w:rPr>
      </w:pPr>
      <w:r w:rsidRPr="004C76AB">
        <w:rPr>
          <w:rFonts w:cs="Arial"/>
          <w:sz w:val="23"/>
          <w:szCs w:val="23"/>
        </w:rPr>
        <w:t>NOTA 03 - SUMÁRIO DAS PRINCIPAIS PRÁTICAS CONTÁBEIS</w:t>
      </w:r>
    </w:p>
    <w:p w:rsidR="004C76AB" w:rsidRPr="004C76AB" w:rsidRDefault="004C76AB" w:rsidP="004C76AB">
      <w:pPr>
        <w:jc w:val="both"/>
        <w:rPr>
          <w:rFonts w:cs="Arial"/>
          <w:sz w:val="23"/>
          <w:szCs w:val="23"/>
        </w:rPr>
      </w:pPr>
      <w:r w:rsidRPr="004C76AB">
        <w:rPr>
          <w:rFonts w:cs="Arial"/>
          <w:sz w:val="23"/>
          <w:szCs w:val="23"/>
        </w:rPr>
        <w:t xml:space="preserve">Ativo Circulante </w:t>
      </w:r>
    </w:p>
    <w:p w:rsidR="004C76AB" w:rsidRPr="004C76AB" w:rsidRDefault="00E54C8D" w:rsidP="00E54C8D">
      <w:pPr>
        <w:pStyle w:val="PargrafodaLista"/>
        <w:ind w:left="0"/>
        <w:jc w:val="both"/>
        <w:rPr>
          <w:rFonts w:cs="Arial"/>
          <w:sz w:val="23"/>
          <w:szCs w:val="23"/>
        </w:rPr>
      </w:pPr>
      <w:r>
        <w:rPr>
          <w:rFonts w:cs="Arial"/>
          <w:sz w:val="23"/>
          <w:szCs w:val="23"/>
        </w:rPr>
        <w:t xml:space="preserve">(a) </w:t>
      </w:r>
      <w:r w:rsidR="004C76AB" w:rsidRPr="004C76AB">
        <w:rPr>
          <w:rFonts w:cs="Arial"/>
          <w:sz w:val="23"/>
          <w:szCs w:val="23"/>
        </w:rPr>
        <w:t>Conversão de Operações em Moeda Estrangeira e Moeda Funcional</w:t>
      </w:r>
    </w:p>
    <w:p w:rsidR="004C76AB" w:rsidRPr="004C76AB" w:rsidRDefault="004C76AB" w:rsidP="004C76AB">
      <w:pPr>
        <w:pStyle w:val="PargrafodaLista"/>
        <w:ind w:left="0"/>
        <w:jc w:val="both"/>
        <w:rPr>
          <w:rFonts w:cs="Arial"/>
          <w:sz w:val="23"/>
          <w:szCs w:val="23"/>
        </w:rPr>
      </w:pPr>
      <w:r w:rsidRPr="004C76AB">
        <w:rPr>
          <w:rFonts w:cs="Arial"/>
          <w:sz w:val="23"/>
          <w:szCs w:val="23"/>
        </w:rPr>
        <w:t xml:space="preserve">A moeda funcional da empresa é o Real (R$). Se houverem, direitos e obrigações monetários denominados em moedas estrangeiras são convertidos às taxas de câmbio vigentes na data das demonstrações contábeis. As receitas de vendas, custo e despesas </w:t>
      </w:r>
      <w:r w:rsidRPr="004C76AB">
        <w:rPr>
          <w:rFonts w:cs="Arial"/>
          <w:sz w:val="23"/>
          <w:szCs w:val="23"/>
        </w:rPr>
        <w:lastRenderedPageBreak/>
        <w:t xml:space="preserve">denominadas em moeda estrangeira são convertidas pela taxa média de câmbio do mês de suas ocorrências. </w:t>
      </w:r>
    </w:p>
    <w:p w:rsidR="004C76AB" w:rsidRPr="004C76AB" w:rsidRDefault="004C76AB" w:rsidP="004C76AB">
      <w:pPr>
        <w:jc w:val="both"/>
        <w:rPr>
          <w:rFonts w:cs="Arial"/>
          <w:sz w:val="23"/>
          <w:szCs w:val="23"/>
        </w:rPr>
      </w:pPr>
      <w:r w:rsidRPr="004C76AB">
        <w:rPr>
          <w:rFonts w:cs="Arial"/>
          <w:sz w:val="23"/>
          <w:szCs w:val="23"/>
        </w:rPr>
        <w:t>(b) Caixa e equivalentes de Caixa</w:t>
      </w:r>
    </w:p>
    <w:p w:rsidR="004C76AB" w:rsidRPr="004C76AB" w:rsidRDefault="004C76AB" w:rsidP="008729DE">
      <w:pPr>
        <w:jc w:val="both"/>
        <w:rPr>
          <w:rFonts w:cs="Arial"/>
          <w:sz w:val="23"/>
          <w:szCs w:val="23"/>
        </w:rPr>
      </w:pPr>
      <w:r w:rsidRPr="004C76AB">
        <w:rPr>
          <w:rFonts w:cs="Arial"/>
          <w:sz w:val="23"/>
          <w:szCs w:val="23"/>
        </w:rPr>
        <w:t>Os fluxos de caixa dos investimentos a curto prazo são demonstrados pelo</w:t>
      </w:r>
      <w:r w:rsidR="00F425C6">
        <w:rPr>
          <w:rFonts w:cs="Arial"/>
          <w:sz w:val="23"/>
          <w:szCs w:val="23"/>
        </w:rPr>
        <w:t>s</w:t>
      </w:r>
      <w:r w:rsidRPr="004C76AB">
        <w:rPr>
          <w:rFonts w:cs="Arial"/>
          <w:sz w:val="23"/>
          <w:szCs w:val="23"/>
        </w:rPr>
        <w:t xml:space="preserve"> valores líquidos (aplicações e resgates). As aplicações a curto prazo que possuem liquidez imediata e vencimento original em até 90 (noventa) dias são considerados como caixa e equivalentes. Os demais investimentos, com vencimentos superiores a 90 (noventa) dias, são reconhecidos a valor justo e registrados em investimentos a curto prazo.</w:t>
      </w:r>
    </w:p>
    <w:p w:rsidR="004C76AB" w:rsidRPr="00086FEB" w:rsidRDefault="004C76AB" w:rsidP="00086FEB">
      <w:pPr>
        <w:spacing w:after="0" w:line="360" w:lineRule="auto"/>
        <w:jc w:val="both"/>
        <w:rPr>
          <w:rFonts w:cs="Arial"/>
          <w:sz w:val="23"/>
          <w:szCs w:val="23"/>
        </w:rPr>
      </w:pPr>
    </w:p>
    <w:p w:rsidR="008729DE" w:rsidRPr="0011522F" w:rsidRDefault="008729DE" w:rsidP="008729DE">
      <w:pPr>
        <w:spacing w:line="360" w:lineRule="auto"/>
        <w:jc w:val="both"/>
        <w:rPr>
          <w:rFonts w:cs="Arial"/>
          <w:sz w:val="23"/>
          <w:szCs w:val="23"/>
        </w:rPr>
      </w:pPr>
      <w:r w:rsidRPr="0011522F">
        <w:rPr>
          <w:rFonts w:cs="Arial"/>
          <w:sz w:val="23"/>
          <w:szCs w:val="23"/>
        </w:rPr>
        <w:t xml:space="preserve">(c) </w:t>
      </w:r>
      <w:r>
        <w:rPr>
          <w:rFonts w:cs="Arial"/>
          <w:sz w:val="23"/>
          <w:szCs w:val="23"/>
        </w:rPr>
        <w:t>Créditos a realizar</w:t>
      </w:r>
      <w:r w:rsidRPr="0011522F">
        <w:rPr>
          <w:rFonts w:cs="Arial"/>
          <w:sz w:val="23"/>
          <w:szCs w:val="23"/>
        </w:rPr>
        <w:t xml:space="preserve"> </w:t>
      </w:r>
    </w:p>
    <w:p w:rsidR="004C76AB" w:rsidRDefault="008729DE" w:rsidP="00A75FAE">
      <w:pPr>
        <w:spacing w:line="360" w:lineRule="auto"/>
        <w:jc w:val="both"/>
        <w:rPr>
          <w:rFonts w:cs="Arial"/>
          <w:sz w:val="23"/>
          <w:szCs w:val="23"/>
        </w:rPr>
      </w:pPr>
      <w:r>
        <w:rPr>
          <w:rFonts w:cs="Arial"/>
          <w:sz w:val="23"/>
          <w:szCs w:val="23"/>
        </w:rPr>
        <w:t>Os valores apresentados em impostos a recuperar serão compensados no próximo exercício contábil.</w:t>
      </w:r>
    </w:p>
    <w:p w:rsidR="00ED5869" w:rsidRDefault="00ED5869" w:rsidP="00A75FAE">
      <w:pPr>
        <w:spacing w:line="360" w:lineRule="auto"/>
        <w:jc w:val="both"/>
        <w:rPr>
          <w:rFonts w:cs="Arial"/>
          <w:sz w:val="23"/>
          <w:szCs w:val="23"/>
        </w:rPr>
      </w:pPr>
      <w:r>
        <w:rPr>
          <w:rFonts w:cs="Arial"/>
          <w:sz w:val="23"/>
          <w:szCs w:val="23"/>
        </w:rPr>
        <w:t>Os valores apresentados em adiantamentos serão compensados no próximo exercício.</w:t>
      </w:r>
    </w:p>
    <w:p w:rsidR="00ED5869" w:rsidRDefault="00ED5869" w:rsidP="00A75FAE">
      <w:pPr>
        <w:spacing w:line="360" w:lineRule="auto"/>
        <w:jc w:val="both"/>
        <w:rPr>
          <w:rFonts w:cs="Arial"/>
          <w:sz w:val="23"/>
          <w:szCs w:val="23"/>
        </w:rPr>
      </w:pPr>
    </w:p>
    <w:p w:rsidR="00A75FAE" w:rsidRDefault="00A75FAE" w:rsidP="00A75FAE">
      <w:pPr>
        <w:spacing w:line="360" w:lineRule="auto"/>
        <w:jc w:val="both"/>
        <w:rPr>
          <w:rFonts w:cs="Arial"/>
          <w:sz w:val="23"/>
          <w:szCs w:val="23"/>
        </w:rPr>
      </w:pPr>
      <w:r>
        <w:rPr>
          <w:rFonts w:cs="Arial"/>
          <w:sz w:val="23"/>
          <w:szCs w:val="23"/>
        </w:rPr>
        <w:t>Ativo Não Circulante</w:t>
      </w:r>
    </w:p>
    <w:p w:rsidR="00A75FAE" w:rsidRPr="0011522F" w:rsidRDefault="00A75FAE" w:rsidP="00A75FAE">
      <w:pPr>
        <w:pStyle w:val="PargrafodaLista"/>
        <w:spacing w:after="0" w:line="360" w:lineRule="auto"/>
        <w:ind w:left="0"/>
        <w:jc w:val="both"/>
        <w:rPr>
          <w:rFonts w:cs="Arial"/>
          <w:sz w:val="23"/>
          <w:szCs w:val="23"/>
        </w:rPr>
      </w:pPr>
      <w:r>
        <w:rPr>
          <w:rFonts w:cs="Arial"/>
          <w:sz w:val="23"/>
          <w:szCs w:val="23"/>
        </w:rPr>
        <w:t xml:space="preserve">(d) </w:t>
      </w:r>
      <w:r w:rsidRPr="0011522F">
        <w:rPr>
          <w:rFonts w:cs="Arial"/>
          <w:sz w:val="23"/>
          <w:szCs w:val="23"/>
        </w:rPr>
        <w:t>Investimentos</w:t>
      </w:r>
    </w:p>
    <w:p w:rsidR="00A75FAE" w:rsidRDefault="00A75FAE" w:rsidP="00A75FAE">
      <w:pPr>
        <w:spacing w:line="360" w:lineRule="auto"/>
        <w:jc w:val="both"/>
        <w:rPr>
          <w:rFonts w:cs="Arial"/>
          <w:sz w:val="23"/>
          <w:szCs w:val="23"/>
        </w:rPr>
      </w:pPr>
      <w:r w:rsidRPr="0011522F">
        <w:rPr>
          <w:rFonts w:cs="Arial"/>
          <w:sz w:val="23"/>
          <w:szCs w:val="23"/>
        </w:rPr>
        <w:t>Os investimentos são participações em outras sociedades e são avaliados ao custo de aquisição.</w:t>
      </w:r>
    </w:p>
    <w:p w:rsidR="00A75FAE" w:rsidRPr="0011522F" w:rsidRDefault="00A75FAE" w:rsidP="00A75FAE">
      <w:pPr>
        <w:spacing w:after="0" w:line="360" w:lineRule="auto"/>
        <w:jc w:val="both"/>
        <w:rPr>
          <w:rFonts w:cs="Arial"/>
          <w:sz w:val="23"/>
          <w:szCs w:val="23"/>
        </w:rPr>
      </w:pPr>
      <w:r w:rsidRPr="0011522F">
        <w:rPr>
          <w:rFonts w:cs="Arial"/>
          <w:sz w:val="23"/>
          <w:szCs w:val="23"/>
        </w:rPr>
        <w:t>(e) Imobilizado</w:t>
      </w:r>
    </w:p>
    <w:p w:rsidR="00A75FAE" w:rsidRPr="004C76AB" w:rsidRDefault="00A75FAE" w:rsidP="00A75FAE">
      <w:pPr>
        <w:spacing w:line="360" w:lineRule="auto"/>
        <w:jc w:val="both"/>
        <w:rPr>
          <w:rFonts w:cs="Arial"/>
          <w:sz w:val="23"/>
          <w:szCs w:val="23"/>
        </w:rPr>
      </w:pPr>
      <w:r w:rsidRPr="0011522F">
        <w:rPr>
          <w:rFonts w:cs="Arial"/>
          <w:sz w:val="23"/>
          <w:szCs w:val="23"/>
        </w:rPr>
        <w:t>O imobilizado está registrado ao custo de aquisição. Os bens são depreciados pelo método linear, com base nas vidas úteis estimadas.</w:t>
      </w:r>
    </w:p>
    <w:p w:rsidR="004C76AB" w:rsidRPr="004C76AB" w:rsidRDefault="004C76AB" w:rsidP="004C76AB">
      <w:pPr>
        <w:jc w:val="both"/>
        <w:rPr>
          <w:rFonts w:cs="Arial"/>
          <w:sz w:val="23"/>
          <w:szCs w:val="23"/>
        </w:rPr>
      </w:pPr>
      <w:r w:rsidRPr="004C76AB">
        <w:rPr>
          <w:rFonts w:cs="Arial"/>
          <w:sz w:val="23"/>
          <w:szCs w:val="23"/>
        </w:rPr>
        <w:t xml:space="preserve">Passivo Circulante: </w:t>
      </w:r>
    </w:p>
    <w:p w:rsidR="004C76AB" w:rsidRPr="004C76AB" w:rsidRDefault="004C76AB" w:rsidP="004C76AB">
      <w:pPr>
        <w:jc w:val="both"/>
        <w:rPr>
          <w:rFonts w:cs="Arial"/>
          <w:sz w:val="23"/>
          <w:szCs w:val="23"/>
        </w:rPr>
      </w:pPr>
      <w:r w:rsidRPr="004C76AB">
        <w:rPr>
          <w:rFonts w:cs="Arial"/>
          <w:sz w:val="23"/>
          <w:szCs w:val="23"/>
        </w:rPr>
        <w:t xml:space="preserve">(f) Obrigações </w:t>
      </w:r>
      <w:r w:rsidR="008729DE" w:rsidRPr="004C76AB">
        <w:rPr>
          <w:rFonts w:cs="Arial"/>
          <w:sz w:val="23"/>
          <w:szCs w:val="23"/>
        </w:rPr>
        <w:t>a</w:t>
      </w:r>
      <w:r w:rsidRPr="004C76AB">
        <w:rPr>
          <w:rFonts w:cs="Arial"/>
          <w:sz w:val="23"/>
          <w:szCs w:val="23"/>
        </w:rPr>
        <w:t xml:space="preserve"> pagar</w:t>
      </w:r>
    </w:p>
    <w:p w:rsidR="004511B3" w:rsidRDefault="004C76AB" w:rsidP="004C76AB">
      <w:pPr>
        <w:jc w:val="both"/>
        <w:rPr>
          <w:rFonts w:cs="Arial"/>
          <w:sz w:val="23"/>
          <w:szCs w:val="23"/>
        </w:rPr>
      </w:pPr>
      <w:r w:rsidRPr="004C76AB">
        <w:rPr>
          <w:rFonts w:cs="Arial"/>
          <w:sz w:val="23"/>
          <w:szCs w:val="23"/>
        </w:rPr>
        <w:t>Os deveres estão em conformidade com seus efetivos valores reais sendo vencíveis dentro do exercício social e registrados e mantidos no balanço patrimonial pelo valor nominal dos títulos.</w:t>
      </w:r>
    </w:p>
    <w:p w:rsidR="00ED5869" w:rsidRDefault="00ED5869" w:rsidP="004C76AB">
      <w:pPr>
        <w:jc w:val="both"/>
        <w:rPr>
          <w:rFonts w:cs="Arial"/>
          <w:sz w:val="23"/>
          <w:szCs w:val="23"/>
        </w:rPr>
      </w:pPr>
    </w:p>
    <w:p w:rsidR="00ED5869" w:rsidRDefault="00ED5869" w:rsidP="004C76AB">
      <w:pPr>
        <w:jc w:val="both"/>
        <w:rPr>
          <w:rFonts w:cs="Arial"/>
          <w:sz w:val="23"/>
          <w:szCs w:val="23"/>
        </w:rPr>
      </w:pPr>
    </w:p>
    <w:p w:rsidR="00ED5869" w:rsidRPr="004C76AB" w:rsidRDefault="00ED5869" w:rsidP="004C76AB">
      <w:pPr>
        <w:jc w:val="both"/>
        <w:rPr>
          <w:rFonts w:cs="Arial"/>
          <w:sz w:val="23"/>
          <w:szCs w:val="23"/>
        </w:rPr>
      </w:pPr>
    </w:p>
    <w:p w:rsidR="004C76AB" w:rsidRPr="004C76AB" w:rsidRDefault="004C76AB" w:rsidP="004C76AB">
      <w:pPr>
        <w:jc w:val="both"/>
        <w:rPr>
          <w:rFonts w:cs="Arial"/>
          <w:sz w:val="23"/>
          <w:szCs w:val="23"/>
        </w:rPr>
      </w:pPr>
      <w:r w:rsidRPr="004C76AB">
        <w:rPr>
          <w:rFonts w:cs="Arial"/>
          <w:sz w:val="23"/>
          <w:szCs w:val="23"/>
        </w:rPr>
        <w:lastRenderedPageBreak/>
        <w:t>NOTA 04 - PATRIMÔNIO LÍQUIDO</w:t>
      </w:r>
    </w:p>
    <w:p w:rsidR="004C76AB" w:rsidRPr="004C76AB" w:rsidRDefault="004C76AB" w:rsidP="004C76AB">
      <w:pPr>
        <w:jc w:val="both"/>
        <w:rPr>
          <w:rFonts w:cs="Arial"/>
          <w:sz w:val="23"/>
          <w:szCs w:val="23"/>
        </w:rPr>
      </w:pPr>
      <w:r w:rsidRPr="004C76AB">
        <w:rPr>
          <w:rFonts w:cs="Arial"/>
          <w:sz w:val="23"/>
          <w:szCs w:val="23"/>
        </w:rPr>
        <w:t>1) Capital Social: O capital da empresa, em 31 de dezembro de 201</w:t>
      </w:r>
      <w:r w:rsidR="00F425C6">
        <w:rPr>
          <w:rFonts w:cs="Arial"/>
          <w:sz w:val="23"/>
          <w:szCs w:val="23"/>
        </w:rPr>
        <w:t>7</w:t>
      </w:r>
      <w:r w:rsidRPr="004C76AB">
        <w:rPr>
          <w:rFonts w:cs="Arial"/>
          <w:sz w:val="23"/>
          <w:szCs w:val="23"/>
        </w:rPr>
        <w:t xml:space="preserve"> no valor de R$ </w:t>
      </w:r>
      <w:r w:rsidR="00BC4A30">
        <w:rPr>
          <w:rFonts w:cs="Arial"/>
          <w:sz w:val="23"/>
          <w:szCs w:val="23"/>
        </w:rPr>
        <w:t>2.140,00</w:t>
      </w:r>
      <w:r w:rsidRPr="004C76AB">
        <w:rPr>
          <w:rFonts w:cs="Arial"/>
          <w:sz w:val="23"/>
          <w:szCs w:val="23"/>
        </w:rPr>
        <w:t xml:space="preserve"> (</w:t>
      </w:r>
      <w:r w:rsidR="00BC4A30">
        <w:rPr>
          <w:rFonts w:cs="Arial"/>
          <w:sz w:val="23"/>
          <w:szCs w:val="23"/>
        </w:rPr>
        <w:t xml:space="preserve">Dois mil, cento e quarenta </w:t>
      </w:r>
      <w:r w:rsidR="008729DE">
        <w:rPr>
          <w:rFonts w:cs="Arial"/>
          <w:sz w:val="23"/>
          <w:szCs w:val="23"/>
        </w:rPr>
        <w:t>reais</w:t>
      </w:r>
      <w:r w:rsidRPr="004C76AB">
        <w:rPr>
          <w:rFonts w:cs="Arial"/>
          <w:sz w:val="23"/>
          <w:szCs w:val="23"/>
        </w:rPr>
        <w:t>) é formado por cotas de capital no valor unitário de R$ 1,0</w:t>
      </w:r>
      <w:r w:rsidR="008729DE">
        <w:rPr>
          <w:rFonts w:cs="Arial"/>
          <w:sz w:val="23"/>
          <w:szCs w:val="23"/>
        </w:rPr>
        <w:t xml:space="preserve">0 (um real) cada, referente a </w:t>
      </w:r>
      <w:r w:rsidR="00BC4A30">
        <w:rPr>
          <w:rFonts w:cs="Arial"/>
          <w:sz w:val="23"/>
          <w:szCs w:val="23"/>
        </w:rPr>
        <w:t>3</w:t>
      </w:r>
      <w:r w:rsidRPr="004C76AB">
        <w:rPr>
          <w:rFonts w:cs="Arial"/>
          <w:sz w:val="23"/>
          <w:szCs w:val="23"/>
        </w:rPr>
        <w:t xml:space="preserve"> (</w:t>
      </w:r>
      <w:r w:rsidR="00BC4A30">
        <w:rPr>
          <w:rFonts w:cs="Arial"/>
          <w:sz w:val="23"/>
          <w:szCs w:val="23"/>
        </w:rPr>
        <w:t>três</w:t>
      </w:r>
      <w:r w:rsidRPr="004C76AB">
        <w:rPr>
          <w:rFonts w:cs="Arial"/>
          <w:sz w:val="23"/>
          <w:szCs w:val="23"/>
        </w:rPr>
        <w:t>) sócios em 31 de dezembro de 201</w:t>
      </w:r>
      <w:r w:rsidR="00F425C6">
        <w:rPr>
          <w:rFonts w:cs="Arial"/>
          <w:sz w:val="23"/>
          <w:szCs w:val="23"/>
        </w:rPr>
        <w:t>7</w:t>
      </w:r>
      <w:r w:rsidRPr="004C76AB">
        <w:rPr>
          <w:rFonts w:cs="Arial"/>
          <w:sz w:val="23"/>
          <w:szCs w:val="23"/>
        </w:rPr>
        <w:t>:</w:t>
      </w:r>
    </w:p>
    <w:p w:rsidR="004C76AB" w:rsidRDefault="004C76AB" w:rsidP="004511B3">
      <w:pPr>
        <w:spacing w:after="0" w:line="240" w:lineRule="auto"/>
        <w:ind w:left="357"/>
        <w:jc w:val="both"/>
        <w:rPr>
          <w:rFonts w:cs="Arial"/>
          <w:sz w:val="23"/>
          <w:szCs w:val="23"/>
        </w:rPr>
      </w:pPr>
    </w:p>
    <w:p w:rsidR="00ED5869" w:rsidRDefault="00A11AE5" w:rsidP="00A11AE5">
      <w:pPr>
        <w:spacing w:after="0" w:line="240" w:lineRule="auto"/>
        <w:jc w:val="both"/>
        <w:rPr>
          <w:rFonts w:cs="Arial"/>
          <w:sz w:val="23"/>
          <w:szCs w:val="23"/>
        </w:rPr>
      </w:pPr>
      <w:r>
        <w:rPr>
          <w:rFonts w:cs="Arial"/>
          <w:sz w:val="23"/>
          <w:szCs w:val="23"/>
        </w:rPr>
        <w:t xml:space="preserve">a) </w:t>
      </w:r>
      <w:r w:rsidR="00ED5869">
        <w:rPr>
          <w:rFonts w:cs="Arial"/>
          <w:sz w:val="23"/>
          <w:szCs w:val="23"/>
        </w:rPr>
        <w:t xml:space="preserve">Antônio </w:t>
      </w:r>
      <w:r w:rsidR="008601E1">
        <w:rPr>
          <w:rFonts w:cs="Arial"/>
          <w:sz w:val="23"/>
          <w:szCs w:val="23"/>
        </w:rPr>
        <w:t>da Silva</w:t>
      </w:r>
      <w:r w:rsidR="008729DE">
        <w:rPr>
          <w:rFonts w:cs="Arial"/>
          <w:sz w:val="23"/>
          <w:szCs w:val="23"/>
        </w:rPr>
        <w:t xml:space="preserve"> –</w:t>
      </w:r>
      <w:r w:rsidR="00ED5869">
        <w:rPr>
          <w:rFonts w:cs="Arial"/>
          <w:sz w:val="23"/>
          <w:szCs w:val="23"/>
        </w:rPr>
        <w:t xml:space="preserve"> 47,48%</w:t>
      </w:r>
    </w:p>
    <w:p w:rsidR="00A11AE5" w:rsidRDefault="00A11AE5" w:rsidP="00A11AE5">
      <w:pPr>
        <w:spacing w:after="0" w:line="240" w:lineRule="auto"/>
        <w:jc w:val="both"/>
        <w:rPr>
          <w:rFonts w:cs="Arial"/>
          <w:sz w:val="23"/>
          <w:szCs w:val="23"/>
        </w:rPr>
      </w:pPr>
      <w:r>
        <w:rPr>
          <w:rFonts w:cs="Arial"/>
          <w:sz w:val="23"/>
          <w:szCs w:val="23"/>
        </w:rPr>
        <w:t xml:space="preserve">b) </w:t>
      </w:r>
      <w:r w:rsidR="008601E1">
        <w:rPr>
          <w:rFonts w:cs="Arial"/>
          <w:sz w:val="23"/>
          <w:szCs w:val="23"/>
        </w:rPr>
        <w:t xml:space="preserve">José da Silva </w:t>
      </w:r>
      <w:r w:rsidR="008729DE">
        <w:rPr>
          <w:rFonts w:cs="Arial"/>
          <w:sz w:val="23"/>
          <w:szCs w:val="23"/>
        </w:rPr>
        <w:t>–</w:t>
      </w:r>
      <w:r w:rsidR="00ED5869">
        <w:rPr>
          <w:rFonts w:cs="Arial"/>
          <w:sz w:val="23"/>
          <w:szCs w:val="23"/>
        </w:rPr>
        <w:t xml:space="preserve"> 47,48</w:t>
      </w:r>
      <w:r w:rsidR="00A75FAE">
        <w:rPr>
          <w:rFonts w:cs="Arial"/>
          <w:sz w:val="23"/>
          <w:szCs w:val="23"/>
        </w:rPr>
        <w:t>%</w:t>
      </w:r>
      <w:r w:rsidR="008729DE">
        <w:rPr>
          <w:rFonts w:cs="Arial"/>
          <w:sz w:val="23"/>
          <w:szCs w:val="23"/>
        </w:rPr>
        <w:t xml:space="preserve"> </w:t>
      </w:r>
    </w:p>
    <w:p w:rsidR="00A11AE5" w:rsidRDefault="00A11AE5" w:rsidP="00A11AE5">
      <w:pPr>
        <w:spacing w:after="0" w:line="240" w:lineRule="auto"/>
        <w:jc w:val="both"/>
        <w:rPr>
          <w:rFonts w:cs="Arial"/>
          <w:sz w:val="23"/>
          <w:szCs w:val="23"/>
        </w:rPr>
      </w:pPr>
      <w:r>
        <w:rPr>
          <w:rFonts w:cs="Arial"/>
          <w:sz w:val="23"/>
          <w:szCs w:val="23"/>
        </w:rPr>
        <w:t>c)</w:t>
      </w:r>
      <w:r w:rsidR="008601E1">
        <w:rPr>
          <w:rFonts w:cs="Arial"/>
          <w:sz w:val="23"/>
          <w:szCs w:val="23"/>
        </w:rPr>
        <w:t xml:space="preserve"> João da Silva </w:t>
      </w:r>
      <w:r w:rsidR="008729DE">
        <w:rPr>
          <w:rFonts w:cs="Arial"/>
          <w:sz w:val="23"/>
          <w:szCs w:val="23"/>
        </w:rPr>
        <w:t xml:space="preserve">– </w:t>
      </w:r>
      <w:r w:rsidR="00ED5869">
        <w:rPr>
          <w:rFonts w:cs="Arial"/>
          <w:sz w:val="23"/>
          <w:szCs w:val="23"/>
        </w:rPr>
        <w:t>5,05</w:t>
      </w:r>
      <w:r w:rsidR="00A75FAE">
        <w:rPr>
          <w:rFonts w:cs="Arial"/>
          <w:sz w:val="23"/>
          <w:szCs w:val="23"/>
        </w:rPr>
        <w:t>%</w:t>
      </w:r>
    </w:p>
    <w:p w:rsidR="004C76AB" w:rsidRPr="004C76AB" w:rsidRDefault="004C76AB" w:rsidP="004C76AB">
      <w:pPr>
        <w:jc w:val="both"/>
        <w:rPr>
          <w:rFonts w:cs="Arial"/>
          <w:sz w:val="23"/>
          <w:szCs w:val="23"/>
        </w:rPr>
      </w:pPr>
    </w:p>
    <w:p w:rsidR="004C76AB" w:rsidRPr="004C76AB" w:rsidRDefault="004C76AB" w:rsidP="004C76AB">
      <w:pPr>
        <w:jc w:val="both"/>
        <w:rPr>
          <w:rFonts w:cs="Arial"/>
          <w:sz w:val="23"/>
          <w:szCs w:val="23"/>
        </w:rPr>
      </w:pPr>
      <w:r w:rsidRPr="004C76AB">
        <w:rPr>
          <w:rFonts w:cs="Arial"/>
          <w:sz w:val="23"/>
          <w:szCs w:val="23"/>
        </w:rPr>
        <w:t xml:space="preserve"> 2) Lucros Distribuídos: Até 31 de dezembro de 201</w:t>
      </w:r>
      <w:r w:rsidR="00F425C6">
        <w:rPr>
          <w:rFonts w:cs="Arial"/>
          <w:sz w:val="23"/>
          <w:szCs w:val="23"/>
        </w:rPr>
        <w:t>7</w:t>
      </w:r>
      <w:r w:rsidRPr="004C76AB">
        <w:rPr>
          <w:rFonts w:cs="Arial"/>
          <w:sz w:val="23"/>
          <w:szCs w:val="23"/>
        </w:rPr>
        <w:t xml:space="preserve"> houve distribuição de lucros no valor de R$ </w:t>
      </w:r>
      <w:r w:rsidR="00F104F6">
        <w:rPr>
          <w:rFonts w:cs="Arial"/>
          <w:sz w:val="23"/>
          <w:szCs w:val="23"/>
        </w:rPr>
        <w:t>240.000,00</w:t>
      </w:r>
      <w:r w:rsidRPr="004C76AB">
        <w:rPr>
          <w:rFonts w:cs="Arial"/>
          <w:sz w:val="23"/>
          <w:szCs w:val="23"/>
        </w:rPr>
        <w:t xml:space="preserve"> aos sócios: </w:t>
      </w:r>
    </w:p>
    <w:p w:rsidR="009E11A2" w:rsidRDefault="009E11A2" w:rsidP="009E11A2">
      <w:pPr>
        <w:spacing w:after="0" w:line="240" w:lineRule="auto"/>
        <w:ind w:left="357"/>
        <w:jc w:val="both"/>
        <w:rPr>
          <w:rFonts w:cs="Arial"/>
          <w:sz w:val="23"/>
          <w:szCs w:val="23"/>
        </w:rPr>
      </w:pPr>
    </w:p>
    <w:p w:rsidR="00ED5869" w:rsidRDefault="00ED5869" w:rsidP="00ED5869">
      <w:pPr>
        <w:spacing w:after="0" w:line="240" w:lineRule="auto"/>
        <w:jc w:val="both"/>
        <w:rPr>
          <w:rFonts w:cs="Arial"/>
          <w:sz w:val="23"/>
          <w:szCs w:val="23"/>
        </w:rPr>
      </w:pPr>
      <w:r>
        <w:rPr>
          <w:rFonts w:cs="Arial"/>
          <w:sz w:val="23"/>
          <w:szCs w:val="23"/>
        </w:rPr>
        <w:t xml:space="preserve">a) </w:t>
      </w:r>
      <w:r w:rsidR="008601E1">
        <w:rPr>
          <w:rFonts w:cs="Arial"/>
          <w:sz w:val="23"/>
          <w:szCs w:val="23"/>
        </w:rPr>
        <w:t xml:space="preserve">Antônio da Silva </w:t>
      </w:r>
      <w:r>
        <w:rPr>
          <w:rFonts w:cs="Arial"/>
          <w:sz w:val="23"/>
          <w:szCs w:val="23"/>
        </w:rPr>
        <w:t xml:space="preserve">– </w:t>
      </w:r>
      <w:r w:rsidR="007A5C56">
        <w:rPr>
          <w:rFonts w:cs="Arial"/>
          <w:sz w:val="23"/>
          <w:szCs w:val="23"/>
        </w:rPr>
        <w:t>R$ 150.000,00</w:t>
      </w:r>
    </w:p>
    <w:p w:rsidR="00ED5869" w:rsidRDefault="00ED5869" w:rsidP="00ED5869">
      <w:pPr>
        <w:spacing w:after="0" w:line="240" w:lineRule="auto"/>
        <w:jc w:val="both"/>
        <w:rPr>
          <w:rFonts w:cs="Arial"/>
          <w:sz w:val="23"/>
          <w:szCs w:val="23"/>
        </w:rPr>
      </w:pPr>
      <w:r>
        <w:rPr>
          <w:rFonts w:cs="Arial"/>
          <w:sz w:val="23"/>
          <w:szCs w:val="23"/>
        </w:rPr>
        <w:t xml:space="preserve">b) </w:t>
      </w:r>
      <w:r w:rsidR="008601E1">
        <w:rPr>
          <w:rFonts w:cs="Arial"/>
          <w:sz w:val="23"/>
          <w:szCs w:val="23"/>
        </w:rPr>
        <w:t xml:space="preserve">José da Silva </w:t>
      </w:r>
      <w:r>
        <w:rPr>
          <w:rFonts w:cs="Arial"/>
          <w:sz w:val="23"/>
          <w:szCs w:val="23"/>
        </w:rPr>
        <w:t xml:space="preserve">– </w:t>
      </w:r>
      <w:r w:rsidR="007A5C56">
        <w:rPr>
          <w:rFonts w:cs="Arial"/>
          <w:sz w:val="23"/>
          <w:szCs w:val="23"/>
        </w:rPr>
        <w:t>R$ 78.000,00</w:t>
      </w:r>
    </w:p>
    <w:p w:rsidR="00ED5869" w:rsidRDefault="00ED5869" w:rsidP="00ED5869">
      <w:pPr>
        <w:spacing w:after="0" w:line="240" w:lineRule="auto"/>
        <w:jc w:val="both"/>
        <w:rPr>
          <w:rFonts w:cs="Arial"/>
          <w:sz w:val="23"/>
          <w:szCs w:val="23"/>
        </w:rPr>
      </w:pPr>
      <w:r>
        <w:rPr>
          <w:rFonts w:cs="Arial"/>
          <w:sz w:val="23"/>
          <w:szCs w:val="23"/>
        </w:rPr>
        <w:t xml:space="preserve">c) </w:t>
      </w:r>
      <w:r w:rsidR="008601E1">
        <w:rPr>
          <w:rFonts w:cs="Arial"/>
          <w:sz w:val="23"/>
          <w:szCs w:val="23"/>
        </w:rPr>
        <w:t xml:space="preserve">João da Silva </w:t>
      </w:r>
      <w:r>
        <w:rPr>
          <w:rFonts w:cs="Arial"/>
          <w:sz w:val="23"/>
          <w:szCs w:val="23"/>
        </w:rPr>
        <w:t xml:space="preserve">– </w:t>
      </w:r>
      <w:r w:rsidR="007A5C56">
        <w:rPr>
          <w:rFonts w:cs="Arial"/>
          <w:sz w:val="23"/>
          <w:szCs w:val="23"/>
        </w:rPr>
        <w:t>R$ 12.000,00</w:t>
      </w:r>
    </w:p>
    <w:p w:rsidR="009E11A2" w:rsidRDefault="009E11A2" w:rsidP="00A75FAE">
      <w:pPr>
        <w:spacing w:after="0" w:line="240" w:lineRule="auto"/>
        <w:jc w:val="both"/>
        <w:rPr>
          <w:rFonts w:cs="Arial"/>
          <w:sz w:val="23"/>
          <w:szCs w:val="23"/>
        </w:rPr>
      </w:pPr>
    </w:p>
    <w:p w:rsidR="004363D1" w:rsidRPr="004C76AB" w:rsidRDefault="004363D1" w:rsidP="00A11AE5">
      <w:pPr>
        <w:jc w:val="both"/>
        <w:rPr>
          <w:rFonts w:cs="Arial"/>
          <w:sz w:val="23"/>
          <w:szCs w:val="23"/>
        </w:rPr>
      </w:pPr>
    </w:p>
    <w:p w:rsidR="004363D1" w:rsidRPr="004C76AB" w:rsidRDefault="004C76AB" w:rsidP="004C76AB">
      <w:pPr>
        <w:jc w:val="both"/>
        <w:rPr>
          <w:rFonts w:cs="Arial"/>
          <w:sz w:val="23"/>
          <w:szCs w:val="23"/>
        </w:rPr>
      </w:pPr>
      <w:r w:rsidRPr="004C76AB">
        <w:rPr>
          <w:rFonts w:cs="Arial"/>
          <w:sz w:val="23"/>
          <w:szCs w:val="23"/>
        </w:rPr>
        <w:t>NOTA 05 - Receitas e Despesas</w:t>
      </w:r>
    </w:p>
    <w:p w:rsidR="004C76AB" w:rsidRDefault="004C76AB" w:rsidP="004C76AB">
      <w:pPr>
        <w:jc w:val="both"/>
        <w:rPr>
          <w:rFonts w:cs="Arial"/>
          <w:sz w:val="23"/>
          <w:szCs w:val="23"/>
        </w:rPr>
      </w:pPr>
      <w:r w:rsidRPr="004C76AB">
        <w:rPr>
          <w:rFonts w:cs="Arial"/>
          <w:sz w:val="23"/>
          <w:szCs w:val="23"/>
        </w:rPr>
        <w:t>A empresa tem como prática a adoção de regime de competência para o registro das mutações patrimoniais ocorridas no exercício, assim como o reconhecimento das receitas e despesas e custos, independente de seu efetivo recebimento ou pagamento.</w:t>
      </w:r>
    </w:p>
    <w:p w:rsidR="004363D1" w:rsidRPr="004C76AB" w:rsidRDefault="004363D1" w:rsidP="004C76AB">
      <w:pPr>
        <w:jc w:val="both"/>
        <w:rPr>
          <w:rFonts w:cs="Arial"/>
          <w:sz w:val="23"/>
          <w:szCs w:val="23"/>
        </w:rPr>
      </w:pPr>
    </w:p>
    <w:p w:rsidR="004C76AB" w:rsidRPr="004C76AB" w:rsidRDefault="004C76AB" w:rsidP="004C76AB">
      <w:pPr>
        <w:jc w:val="both"/>
        <w:rPr>
          <w:rFonts w:cs="Arial"/>
          <w:sz w:val="23"/>
          <w:szCs w:val="23"/>
        </w:rPr>
      </w:pPr>
      <w:r w:rsidRPr="004C76AB">
        <w:rPr>
          <w:rFonts w:cs="Arial"/>
          <w:sz w:val="23"/>
          <w:szCs w:val="23"/>
        </w:rPr>
        <w:t>NOTA 06 - Caixa e Equivalentes de Caixa</w:t>
      </w:r>
    </w:p>
    <w:p w:rsidR="004C76AB" w:rsidRPr="004C76AB" w:rsidRDefault="004C76AB" w:rsidP="004C76AB">
      <w:pPr>
        <w:jc w:val="both"/>
        <w:rPr>
          <w:rFonts w:cs="Arial"/>
          <w:sz w:val="23"/>
          <w:szCs w:val="23"/>
        </w:rPr>
      </w:pPr>
      <w:r w:rsidRPr="004C76AB">
        <w:rPr>
          <w:rFonts w:cs="Arial"/>
          <w:sz w:val="23"/>
          <w:szCs w:val="23"/>
        </w:rPr>
        <w:t xml:space="preserve">                                                                                         </w:t>
      </w:r>
      <w:r w:rsidR="009E11A2">
        <w:rPr>
          <w:rFonts w:cs="Arial"/>
          <w:sz w:val="23"/>
          <w:szCs w:val="23"/>
        </w:rPr>
        <w:t xml:space="preserve">                      2016                    </w:t>
      </w:r>
      <w:r w:rsidRPr="004C76AB">
        <w:rPr>
          <w:rFonts w:cs="Arial"/>
          <w:sz w:val="23"/>
          <w:szCs w:val="23"/>
        </w:rPr>
        <w:t>2015</w:t>
      </w:r>
    </w:p>
    <w:p w:rsidR="00E51FD3" w:rsidRDefault="004C76AB" w:rsidP="004C76AB">
      <w:pPr>
        <w:spacing w:after="0" w:line="240" w:lineRule="auto"/>
        <w:jc w:val="both"/>
        <w:rPr>
          <w:rFonts w:cs="Arial"/>
          <w:sz w:val="23"/>
          <w:szCs w:val="23"/>
        </w:rPr>
      </w:pPr>
      <w:r w:rsidRPr="004C76AB">
        <w:rPr>
          <w:rFonts w:cs="Arial"/>
          <w:sz w:val="23"/>
          <w:szCs w:val="23"/>
        </w:rPr>
        <w:t xml:space="preserve">Caixa                                                                      </w:t>
      </w:r>
      <w:r w:rsidR="006B494A">
        <w:rPr>
          <w:rFonts w:cs="Arial"/>
          <w:sz w:val="23"/>
          <w:szCs w:val="23"/>
        </w:rPr>
        <w:t xml:space="preserve">                    R$ </w:t>
      </w:r>
      <w:r w:rsidR="00F104F6">
        <w:rPr>
          <w:rFonts w:cs="Arial"/>
          <w:sz w:val="23"/>
          <w:szCs w:val="23"/>
        </w:rPr>
        <w:t>2.454,16</w:t>
      </w:r>
      <w:r w:rsidR="006B494A">
        <w:rPr>
          <w:rFonts w:cs="Arial"/>
          <w:sz w:val="23"/>
          <w:szCs w:val="23"/>
        </w:rPr>
        <w:t xml:space="preserve"> </w:t>
      </w:r>
      <w:r w:rsidRPr="004C76AB">
        <w:rPr>
          <w:rFonts w:cs="Arial"/>
          <w:sz w:val="23"/>
          <w:szCs w:val="23"/>
        </w:rPr>
        <w:t xml:space="preserve">           </w:t>
      </w:r>
      <w:r w:rsidR="00E51FD3">
        <w:rPr>
          <w:rFonts w:cs="Arial"/>
          <w:sz w:val="23"/>
          <w:szCs w:val="23"/>
        </w:rPr>
        <w:t xml:space="preserve">  </w:t>
      </w:r>
      <w:r w:rsidR="006B494A">
        <w:rPr>
          <w:rFonts w:cs="Arial"/>
          <w:sz w:val="23"/>
          <w:szCs w:val="23"/>
        </w:rPr>
        <w:t>R$</w:t>
      </w:r>
      <w:r w:rsidRPr="004C76AB">
        <w:rPr>
          <w:rFonts w:cs="Arial"/>
          <w:sz w:val="23"/>
          <w:szCs w:val="23"/>
        </w:rPr>
        <w:t xml:space="preserve"> </w:t>
      </w:r>
      <w:r w:rsidR="00F104F6">
        <w:rPr>
          <w:rFonts w:cs="Arial"/>
          <w:sz w:val="23"/>
          <w:szCs w:val="23"/>
        </w:rPr>
        <w:t>13.195,55</w:t>
      </w:r>
    </w:p>
    <w:p w:rsidR="004C76AB" w:rsidRPr="004C76AB" w:rsidRDefault="004C76AB" w:rsidP="004C76AB">
      <w:pPr>
        <w:spacing w:after="0" w:line="240" w:lineRule="auto"/>
        <w:jc w:val="both"/>
        <w:rPr>
          <w:rFonts w:cs="Arial"/>
          <w:sz w:val="23"/>
          <w:szCs w:val="23"/>
        </w:rPr>
      </w:pPr>
      <w:r w:rsidRPr="004C76AB">
        <w:rPr>
          <w:rFonts w:cs="Arial"/>
          <w:sz w:val="23"/>
          <w:szCs w:val="23"/>
        </w:rPr>
        <w:t xml:space="preserve">Depósitos Bancários                                             </w:t>
      </w:r>
      <w:r w:rsidR="006B494A">
        <w:rPr>
          <w:rFonts w:cs="Arial"/>
          <w:sz w:val="23"/>
          <w:szCs w:val="23"/>
        </w:rPr>
        <w:t xml:space="preserve">                  R$</w:t>
      </w:r>
      <w:r w:rsidRPr="004C76AB">
        <w:rPr>
          <w:rFonts w:cs="Arial"/>
          <w:sz w:val="23"/>
          <w:szCs w:val="23"/>
        </w:rPr>
        <w:t xml:space="preserve"> </w:t>
      </w:r>
      <w:r w:rsidR="00F104F6">
        <w:rPr>
          <w:rFonts w:cs="Arial"/>
          <w:sz w:val="23"/>
          <w:szCs w:val="23"/>
        </w:rPr>
        <w:t>16.717,97</w:t>
      </w:r>
      <w:r w:rsidR="00E51FD3">
        <w:rPr>
          <w:rFonts w:cs="Arial"/>
          <w:sz w:val="23"/>
          <w:szCs w:val="23"/>
        </w:rPr>
        <w:t xml:space="preserve">            </w:t>
      </w:r>
      <w:r w:rsidR="004363D1">
        <w:rPr>
          <w:rFonts w:cs="Arial"/>
          <w:sz w:val="23"/>
          <w:szCs w:val="23"/>
        </w:rPr>
        <w:t xml:space="preserve">R$ </w:t>
      </w:r>
      <w:r w:rsidR="00F104F6">
        <w:rPr>
          <w:rFonts w:cs="Arial"/>
          <w:sz w:val="23"/>
          <w:szCs w:val="23"/>
        </w:rPr>
        <w:t>35.175,00</w:t>
      </w:r>
    </w:p>
    <w:p w:rsidR="006B494A" w:rsidRDefault="004C76AB" w:rsidP="004C76AB">
      <w:pPr>
        <w:spacing w:after="0" w:line="240" w:lineRule="auto"/>
        <w:jc w:val="both"/>
        <w:rPr>
          <w:rFonts w:cs="Arial"/>
          <w:sz w:val="23"/>
          <w:szCs w:val="23"/>
        </w:rPr>
      </w:pPr>
      <w:r w:rsidRPr="004C76AB">
        <w:rPr>
          <w:rFonts w:cs="Arial"/>
          <w:sz w:val="23"/>
          <w:szCs w:val="23"/>
        </w:rPr>
        <w:t>Aplicações Financeiras de Liquide</w:t>
      </w:r>
      <w:r w:rsidR="006B494A">
        <w:rPr>
          <w:rFonts w:cs="Arial"/>
          <w:sz w:val="23"/>
          <w:szCs w:val="23"/>
        </w:rPr>
        <w:t xml:space="preserve">z Imediata </w:t>
      </w:r>
      <w:r w:rsidR="004363D1">
        <w:rPr>
          <w:rFonts w:cs="Arial"/>
          <w:sz w:val="23"/>
          <w:szCs w:val="23"/>
        </w:rPr>
        <w:t xml:space="preserve">                    R$ </w:t>
      </w:r>
      <w:r w:rsidR="00F104F6">
        <w:rPr>
          <w:rFonts w:cs="Arial"/>
          <w:sz w:val="23"/>
          <w:szCs w:val="23"/>
        </w:rPr>
        <w:t xml:space="preserve">289,79     </w:t>
      </w:r>
      <w:r w:rsidR="009E11A2">
        <w:rPr>
          <w:rFonts w:cs="Arial"/>
          <w:sz w:val="23"/>
          <w:szCs w:val="23"/>
        </w:rPr>
        <w:t xml:space="preserve">  </w:t>
      </w:r>
      <w:r w:rsidR="004363D1">
        <w:rPr>
          <w:rFonts w:cs="Arial"/>
          <w:sz w:val="23"/>
          <w:szCs w:val="23"/>
        </w:rPr>
        <w:t xml:space="preserve">          </w:t>
      </w:r>
      <w:r w:rsidR="006B494A">
        <w:rPr>
          <w:rFonts w:cs="Arial"/>
          <w:sz w:val="23"/>
          <w:szCs w:val="23"/>
        </w:rPr>
        <w:t xml:space="preserve">R$ </w:t>
      </w:r>
      <w:r w:rsidR="00F104F6">
        <w:rPr>
          <w:rFonts w:cs="Arial"/>
          <w:sz w:val="23"/>
          <w:szCs w:val="23"/>
        </w:rPr>
        <w:t>0,00</w:t>
      </w:r>
      <w:r w:rsidRPr="004C76AB">
        <w:rPr>
          <w:rFonts w:cs="Arial"/>
          <w:sz w:val="23"/>
          <w:szCs w:val="23"/>
        </w:rPr>
        <w:t xml:space="preserve">          </w:t>
      </w:r>
    </w:p>
    <w:p w:rsidR="004C76AB" w:rsidRPr="004C76AB" w:rsidRDefault="004C76AB" w:rsidP="004C76AB">
      <w:pPr>
        <w:spacing w:after="0" w:line="240" w:lineRule="auto"/>
        <w:jc w:val="both"/>
        <w:rPr>
          <w:rFonts w:cs="Arial"/>
          <w:sz w:val="23"/>
          <w:szCs w:val="23"/>
        </w:rPr>
      </w:pPr>
      <w:r w:rsidRPr="004C76AB">
        <w:rPr>
          <w:rFonts w:cs="Arial"/>
          <w:sz w:val="23"/>
          <w:szCs w:val="23"/>
        </w:rPr>
        <w:t xml:space="preserve">Total de Caixa e Equivalente de Caixa      </w:t>
      </w:r>
      <w:r w:rsidR="006B494A">
        <w:rPr>
          <w:rFonts w:cs="Arial"/>
          <w:sz w:val="23"/>
          <w:szCs w:val="23"/>
        </w:rPr>
        <w:t xml:space="preserve">        </w:t>
      </w:r>
      <w:r w:rsidR="004363D1">
        <w:rPr>
          <w:rFonts w:cs="Arial"/>
          <w:sz w:val="23"/>
          <w:szCs w:val="23"/>
        </w:rPr>
        <w:t xml:space="preserve">                   R$ </w:t>
      </w:r>
      <w:r w:rsidR="00F104F6">
        <w:rPr>
          <w:rFonts w:cs="Arial"/>
          <w:sz w:val="23"/>
          <w:szCs w:val="23"/>
        </w:rPr>
        <w:t>19.461,92</w:t>
      </w:r>
      <w:r w:rsidR="004363D1">
        <w:rPr>
          <w:rFonts w:cs="Arial"/>
          <w:sz w:val="23"/>
          <w:szCs w:val="23"/>
        </w:rPr>
        <w:t xml:space="preserve">          </w:t>
      </w:r>
      <w:r w:rsidR="009E11A2">
        <w:rPr>
          <w:rFonts w:cs="Arial"/>
          <w:sz w:val="23"/>
          <w:szCs w:val="23"/>
        </w:rPr>
        <w:t xml:space="preserve">  </w:t>
      </w:r>
      <w:r w:rsidR="006B494A">
        <w:rPr>
          <w:rFonts w:cs="Arial"/>
          <w:sz w:val="23"/>
          <w:szCs w:val="23"/>
        </w:rPr>
        <w:t xml:space="preserve">R$ </w:t>
      </w:r>
      <w:r w:rsidR="00F104F6">
        <w:rPr>
          <w:rFonts w:cs="Arial"/>
          <w:sz w:val="23"/>
          <w:szCs w:val="23"/>
        </w:rPr>
        <w:t>48.370,55</w:t>
      </w:r>
    </w:p>
    <w:p w:rsidR="004C76AB" w:rsidRPr="004C76AB" w:rsidRDefault="004C76AB" w:rsidP="004C76AB">
      <w:pPr>
        <w:jc w:val="both"/>
        <w:rPr>
          <w:rFonts w:cs="Arial"/>
          <w:sz w:val="23"/>
          <w:szCs w:val="23"/>
        </w:rPr>
      </w:pPr>
    </w:p>
    <w:p w:rsidR="004C76AB" w:rsidRDefault="004C76AB" w:rsidP="004C76AB">
      <w:pPr>
        <w:jc w:val="both"/>
        <w:rPr>
          <w:rFonts w:cs="Arial"/>
          <w:sz w:val="23"/>
          <w:szCs w:val="23"/>
        </w:rPr>
      </w:pPr>
      <w:r w:rsidRPr="004C76AB">
        <w:rPr>
          <w:rFonts w:cs="Arial"/>
          <w:sz w:val="23"/>
          <w:szCs w:val="23"/>
        </w:rPr>
        <w:t>Todas as aplicações financeiras de liquidez imediata foram efetuadas em investimentos de baixo risco, com prazo de vencimento de até 90 (Noventa) dias.</w:t>
      </w:r>
    </w:p>
    <w:p w:rsidR="00355522" w:rsidRPr="004C76AB" w:rsidRDefault="00355522" w:rsidP="004C76AB">
      <w:pPr>
        <w:jc w:val="both"/>
        <w:rPr>
          <w:rFonts w:cs="Arial"/>
          <w:sz w:val="23"/>
          <w:szCs w:val="23"/>
        </w:rPr>
      </w:pPr>
    </w:p>
    <w:p w:rsidR="004C76AB" w:rsidRPr="004C76AB" w:rsidRDefault="00F02AA1" w:rsidP="004C76AB">
      <w:pPr>
        <w:spacing w:before="240"/>
        <w:jc w:val="both"/>
        <w:rPr>
          <w:rFonts w:cs="Arial"/>
          <w:sz w:val="23"/>
          <w:szCs w:val="23"/>
        </w:rPr>
      </w:pPr>
      <w:r>
        <w:rPr>
          <w:rFonts w:cs="Arial"/>
          <w:sz w:val="23"/>
          <w:szCs w:val="23"/>
        </w:rPr>
        <w:t>NOTA 07</w:t>
      </w:r>
      <w:r w:rsidR="004C76AB" w:rsidRPr="004C76AB">
        <w:rPr>
          <w:rFonts w:cs="Arial"/>
          <w:sz w:val="23"/>
          <w:szCs w:val="23"/>
        </w:rPr>
        <w:t xml:space="preserve"> – Demonstração do Resultado Abrangente</w:t>
      </w:r>
    </w:p>
    <w:p w:rsidR="004C76AB" w:rsidRPr="004C76AB" w:rsidRDefault="004C76AB" w:rsidP="004C76AB">
      <w:pPr>
        <w:jc w:val="both"/>
        <w:rPr>
          <w:rFonts w:cs="Arial"/>
          <w:sz w:val="23"/>
          <w:szCs w:val="23"/>
        </w:rPr>
      </w:pPr>
      <w:r w:rsidRPr="004C76AB">
        <w:rPr>
          <w:rFonts w:cs="Arial"/>
          <w:sz w:val="23"/>
          <w:szCs w:val="23"/>
        </w:rPr>
        <w:t xml:space="preserve">Não foi transcrita a Demonstração do Resultado Abrangente (DRA), pois, não houve mutação no patrimônio Líquido durante os exercícios comparados, resultante de </w:t>
      </w:r>
      <w:r w:rsidRPr="004C76AB">
        <w:rPr>
          <w:rFonts w:cs="Arial"/>
          <w:sz w:val="23"/>
          <w:szCs w:val="23"/>
        </w:rPr>
        <w:lastRenderedPageBreak/>
        <w:t>transações e outros eventos que não são derivados de transação com os sócios (item 3.18 da Res. do CFC 1255/2009).</w:t>
      </w:r>
    </w:p>
    <w:p w:rsidR="004C76AB" w:rsidRPr="004C76AB" w:rsidRDefault="004C76AB" w:rsidP="004C76AB">
      <w:pPr>
        <w:spacing w:after="0" w:line="240" w:lineRule="auto"/>
        <w:jc w:val="both"/>
        <w:rPr>
          <w:rFonts w:cs="Arial"/>
          <w:sz w:val="23"/>
          <w:szCs w:val="23"/>
        </w:rPr>
      </w:pPr>
    </w:p>
    <w:p w:rsidR="004C76AB" w:rsidRPr="004C76AB" w:rsidRDefault="004C76AB" w:rsidP="004C76AB">
      <w:pPr>
        <w:spacing w:after="0" w:line="240" w:lineRule="auto"/>
        <w:jc w:val="both"/>
        <w:rPr>
          <w:rFonts w:cs="Arial"/>
          <w:sz w:val="23"/>
          <w:szCs w:val="23"/>
        </w:rPr>
      </w:pPr>
    </w:p>
    <w:p w:rsidR="004C76AB" w:rsidRPr="004C76AB" w:rsidRDefault="00F02AA1" w:rsidP="004C76AB">
      <w:pPr>
        <w:jc w:val="both"/>
        <w:rPr>
          <w:rFonts w:cs="Arial"/>
          <w:sz w:val="23"/>
          <w:szCs w:val="23"/>
        </w:rPr>
      </w:pPr>
      <w:r>
        <w:rPr>
          <w:rFonts w:cs="Arial"/>
          <w:sz w:val="23"/>
          <w:szCs w:val="23"/>
        </w:rPr>
        <w:t>NOTA 08</w:t>
      </w:r>
      <w:r w:rsidR="004C76AB" w:rsidRPr="004C76AB">
        <w:rPr>
          <w:rFonts w:cs="Arial"/>
          <w:sz w:val="23"/>
          <w:szCs w:val="23"/>
        </w:rPr>
        <w:t xml:space="preserve"> - Demonstração de Fluxo de Caixa</w:t>
      </w:r>
    </w:p>
    <w:p w:rsidR="004C76AB" w:rsidRPr="004C76AB" w:rsidRDefault="004C76AB" w:rsidP="004C76AB">
      <w:pPr>
        <w:jc w:val="both"/>
        <w:rPr>
          <w:rFonts w:cs="Arial"/>
          <w:sz w:val="23"/>
          <w:szCs w:val="23"/>
        </w:rPr>
      </w:pPr>
      <w:r w:rsidRPr="004C76AB">
        <w:rPr>
          <w:rFonts w:cs="Arial"/>
          <w:sz w:val="23"/>
          <w:szCs w:val="23"/>
        </w:rPr>
        <w:t>A empresa optou pela transcrição da Demonstração do Fluxo de Caixa pelo Método Direto.</w:t>
      </w:r>
    </w:p>
    <w:p w:rsidR="004C76AB" w:rsidRPr="004C76AB" w:rsidRDefault="004C76AB" w:rsidP="004C76AB">
      <w:pPr>
        <w:spacing w:after="0" w:line="240" w:lineRule="auto"/>
        <w:jc w:val="both"/>
        <w:rPr>
          <w:rFonts w:cs="Arial"/>
          <w:sz w:val="23"/>
          <w:szCs w:val="23"/>
        </w:rPr>
      </w:pPr>
    </w:p>
    <w:p w:rsidR="004C76AB" w:rsidRPr="004C76AB" w:rsidRDefault="004C76AB" w:rsidP="004C76AB">
      <w:pPr>
        <w:spacing w:after="0" w:line="240" w:lineRule="auto"/>
        <w:jc w:val="both"/>
        <w:rPr>
          <w:rFonts w:cs="Arial"/>
          <w:sz w:val="23"/>
          <w:szCs w:val="23"/>
        </w:rPr>
      </w:pPr>
    </w:p>
    <w:p w:rsidR="004C76AB" w:rsidRPr="004C76AB" w:rsidRDefault="00F02AA1" w:rsidP="004C76AB">
      <w:pPr>
        <w:jc w:val="both"/>
        <w:rPr>
          <w:rFonts w:cs="Arial"/>
          <w:sz w:val="23"/>
          <w:szCs w:val="23"/>
        </w:rPr>
      </w:pPr>
      <w:r>
        <w:rPr>
          <w:rFonts w:cs="Arial"/>
          <w:sz w:val="23"/>
          <w:szCs w:val="23"/>
        </w:rPr>
        <w:t>NOTA 09</w:t>
      </w:r>
      <w:r w:rsidR="004C76AB" w:rsidRPr="004C76AB">
        <w:rPr>
          <w:rFonts w:cs="Arial"/>
          <w:sz w:val="23"/>
          <w:szCs w:val="23"/>
        </w:rPr>
        <w:t xml:space="preserve"> </w:t>
      </w:r>
      <w:r w:rsidR="00EC30C2">
        <w:rPr>
          <w:rFonts w:cs="Arial"/>
          <w:sz w:val="23"/>
          <w:szCs w:val="23"/>
        </w:rPr>
        <w:t>- Até 31 de dezembro de 201</w:t>
      </w:r>
      <w:r w:rsidR="00F425C6">
        <w:rPr>
          <w:rFonts w:cs="Arial"/>
          <w:sz w:val="23"/>
          <w:szCs w:val="23"/>
        </w:rPr>
        <w:t>7</w:t>
      </w:r>
      <w:r w:rsidR="00EC30C2">
        <w:rPr>
          <w:rFonts w:cs="Arial"/>
          <w:sz w:val="23"/>
          <w:szCs w:val="23"/>
        </w:rPr>
        <w:t xml:space="preserve">, </w:t>
      </w:r>
      <w:r w:rsidR="00E51FD3">
        <w:rPr>
          <w:rFonts w:cs="Arial"/>
          <w:sz w:val="23"/>
          <w:szCs w:val="23"/>
        </w:rPr>
        <w:t>o</w:t>
      </w:r>
      <w:r w:rsidR="00302C19">
        <w:rPr>
          <w:rFonts w:cs="Arial"/>
          <w:sz w:val="23"/>
          <w:szCs w:val="23"/>
        </w:rPr>
        <w:t>s</w:t>
      </w:r>
      <w:r w:rsidR="00EC30C2">
        <w:rPr>
          <w:rFonts w:cs="Arial"/>
          <w:sz w:val="23"/>
          <w:szCs w:val="23"/>
        </w:rPr>
        <w:t xml:space="preserve"> administrador</w:t>
      </w:r>
      <w:r w:rsidR="00302C19">
        <w:rPr>
          <w:rFonts w:cs="Arial"/>
          <w:sz w:val="23"/>
          <w:szCs w:val="23"/>
        </w:rPr>
        <w:t>es</w:t>
      </w:r>
      <w:r w:rsidR="004C76AB" w:rsidRPr="004C76AB">
        <w:rPr>
          <w:rFonts w:cs="Arial"/>
          <w:sz w:val="23"/>
          <w:szCs w:val="23"/>
        </w:rPr>
        <w:t xml:space="preserve"> da empresa </w:t>
      </w:r>
      <w:r w:rsidR="00302C19">
        <w:rPr>
          <w:rFonts w:cs="Arial"/>
          <w:sz w:val="23"/>
          <w:szCs w:val="23"/>
        </w:rPr>
        <w:t>optaram</w:t>
      </w:r>
      <w:r w:rsidR="004C76AB" w:rsidRPr="004C76AB">
        <w:rPr>
          <w:rFonts w:cs="Arial"/>
          <w:sz w:val="23"/>
          <w:szCs w:val="23"/>
        </w:rPr>
        <w:t xml:space="preserve"> pela contratação de contabilidade terceirizada, a qual se encontra perfeitamente atinada a legislação profissional, e estando assim, regulamentada pelo Conselho Federal de Contabilidade no que tange a questão ética profissional e ainda conforme previsto em cláusulas contratuais. Assim, a administração da empresa, declara que tomou ciência do conteúdo do aludido contrato em todos os seus termos. Os resultados produzidos são frutos do documental remetido para contabilização pela administração da empresa, respondendo esta, pela veracidade, integridade e procedência. A administração encontra-se ciente de toda a legislação aqui aplicável, especialmente ao tocante a Lei 11.101/2005 que informa das responsabilidades quanto às documentações e procedimentos. A responsabilidade do profissional do contabilista</w:t>
      </w:r>
      <w:r w:rsidR="00F425C6">
        <w:rPr>
          <w:rFonts w:cs="Arial"/>
          <w:sz w:val="23"/>
          <w:szCs w:val="23"/>
        </w:rPr>
        <w:t>,</w:t>
      </w:r>
      <w:r w:rsidR="004C76AB" w:rsidRPr="004C76AB">
        <w:rPr>
          <w:rFonts w:cs="Arial"/>
          <w:sz w:val="23"/>
          <w:szCs w:val="23"/>
        </w:rPr>
        <w:t xml:space="preserve"> que referenda estas demonstrações contábeis</w:t>
      </w:r>
      <w:r w:rsidR="00F425C6">
        <w:rPr>
          <w:rFonts w:cs="Arial"/>
          <w:sz w:val="23"/>
          <w:szCs w:val="23"/>
        </w:rPr>
        <w:t>,</w:t>
      </w:r>
      <w:r w:rsidR="004C76AB" w:rsidRPr="004C76AB">
        <w:rPr>
          <w:rFonts w:cs="Arial"/>
          <w:sz w:val="23"/>
          <w:szCs w:val="23"/>
        </w:rPr>
        <w:t xml:space="preserve"> está limitada os fatos efetivamente notificados pela administração da empresa a este profissional.</w:t>
      </w:r>
    </w:p>
    <w:p w:rsidR="004C76AB" w:rsidRPr="004C76AB" w:rsidRDefault="004C76AB" w:rsidP="004C76AB">
      <w:pPr>
        <w:jc w:val="both"/>
        <w:rPr>
          <w:rFonts w:cs="Arial"/>
          <w:sz w:val="23"/>
          <w:szCs w:val="23"/>
        </w:rPr>
      </w:pPr>
    </w:p>
    <w:p w:rsidR="004C76AB" w:rsidRPr="004C76AB" w:rsidRDefault="00F02AA1" w:rsidP="004C76AB">
      <w:pPr>
        <w:jc w:val="both"/>
        <w:rPr>
          <w:rFonts w:cs="Arial"/>
          <w:sz w:val="23"/>
          <w:szCs w:val="23"/>
        </w:rPr>
      </w:pPr>
      <w:r>
        <w:rPr>
          <w:rFonts w:cs="Arial"/>
          <w:sz w:val="23"/>
          <w:szCs w:val="23"/>
        </w:rPr>
        <w:t>NOTA 10</w:t>
      </w:r>
      <w:r w:rsidR="004C76AB" w:rsidRPr="004C76AB">
        <w:rPr>
          <w:rFonts w:cs="Arial"/>
          <w:sz w:val="23"/>
          <w:szCs w:val="23"/>
        </w:rPr>
        <w:t xml:space="preserve"> - Eventos Subsequentes</w:t>
      </w:r>
    </w:p>
    <w:p w:rsidR="004C76AB" w:rsidRPr="004C76AB" w:rsidRDefault="004C76AB" w:rsidP="004C76AB">
      <w:pPr>
        <w:jc w:val="both"/>
        <w:rPr>
          <w:rFonts w:cs="Arial"/>
          <w:sz w:val="23"/>
          <w:szCs w:val="23"/>
        </w:rPr>
      </w:pPr>
      <w:r w:rsidRPr="004C76AB">
        <w:rPr>
          <w:rFonts w:cs="Arial"/>
          <w:sz w:val="23"/>
          <w:szCs w:val="23"/>
        </w:rPr>
        <w:t>A empresa não incorreu em eventos subsequentes favoráveis e desfavoráveis entre o final do período contábil e a data da aprovação das demonstrações contábeis.</w:t>
      </w:r>
    </w:p>
    <w:p w:rsidR="004C76AB" w:rsidRPr="004C76AB" w:rsidRDefault="004C76AB" w:rsidP="004C76AB">
      <w:pPr>
        <w:jc w:val="both"/>
        <w:rPr>
          <w:rFonts w:cs="Arial"/>
          <w:sz w:val="23"/>
          <w:szCs w:val="23"/>
        </w:rPr>
      </w:pPr>
    </w:p>
    <w:p w:rsidR="004C76AB" w:rsidRPr="004C76AB" w:rsidRDefault="00F02AA1" w:rsidP="004C76AB">
      <w:pPr>
        <w:jc w:val="both"/>
        <w:rPr>
          <w:rFonts w:cs="Arial"/>
          <w:sz w:val="23"/>
          <w:szCs w:val="23"/>
        </w:rPr>
      </w:pPr>
      <w:r>
        <w:rPr>
          <w:rFonts w:cs="Arial"/>
          <w:sz w:val="23"/>
          <w:szCs w:val="23"/>
        </w:rPr>
        <w:t>NOTA 11</w:t>
      </w:r>
      <w:r w:rsidR="004C76AB" w:rsidRPr="004C76AB">
        <w:rPr>
          <w:rFonts w:cs="Arial"/>
          <w:sz w:val="23"/>
          <w:szCs w:val="23"/>
        </w:rPr>
        <w:t xml:space="preserve"> - Continuidade dos Negócios</w:t>
      </w:r>
    </w:p>
    <w:p w:rsidR="004C76AB" w:rsidRDefault="004C76AB" w:rsidP="004C76AB">
      <w:pPr>
        <w:jc w:val="both"/>
        <w:rPr>
          <w:rFonts w:cs="Arial"/>
          <w:sz w:val="23"/>
          <w:szCs w:val="23"/>
        </w:rPr>
      </w:pPr>
      <w:r w:rsidRPr="004C76AB">
        <w:rPr>
          <w:rFonts w:cs="Arial"/>
          <w:sz w:val="23"/>
          <w:szCs w:val="23"/>
        </w:rPr>
        <w:t>A empresa está operando em sua capacidade plena sob o critério da continuidade das suas atividades empresariais, não havendo qualquer previsão em contrário nos próximos 12 meses.</w:t>
      </w:r>
    </w:p>
    <w:p w:rsidR="00F425C6" w:rsidRPr="004C76AB" w:rsidRDefault="00F425C6" w:rsidP="004C76AB">
      <w:pPr>
        <w:jc w:val="both"/>
        <w:rPr>
          <w:rFonts w:cs="Arial"/>
          <w:sz w:val="23"/>
          <w:szCs w:val="23"/>
        </w:rPr>
      </w:pPr>
      <w:bookmarkStart w:id="0" w:name="_GoBack"/>
      <w:bookmarkEnd w:id="0"/>
    </w:p>
    <w:p w:rsidR="004C76AB" w:rsidRPr="004C76AB" w:rsidRDefault="004C76AB" w:rsidP="004C76AB">
      <w:pPr>
        <w:jc w:val="both"/>
        <w:rPr>
          <w:rFonts w:cs="Arial"/>
          <w:sz w:val="23"/>
          <w:szCs w:val="23"/>
        </w:rPr>
      </w:pPr>
      <w:r w:rsidRPr="004C76AB">
        <w:rPr>
          <w:rFonts w:cs="Arial"/>
          <w:sz w:val="23"/>
          <w:szCs w:val="23"/>
        </w:rPr>
        <w:t>Londrina, 31 de dezembro de 201</w:t>
      </w:r>
      <w:r w:rsidR="00F425C6">
        <w:rPr>
          <w:rFonts w:cs="Arial"/>
          <w:sz w:val="23"/>
          <w:szCs w:val="23"/>
        </w:rPr>
        <w:t>7</w:t>
      </w:r>
      <w:r w:rsidRPr="004C76AB">
        <w:rPr>
          <w:rFonts w:cs="Arial"/>
          <w:sz w:val="23"/>
          <w:szCs w:val="23"/>
        </w:rPr>
        <w:t>.</w:t>
      </w:r>
    </w:p>
    <w:p w:rsidR="00A51A6E" w:rsidRPr="004C76AB" w:rsidRDefault="00A51A6E" w:rsidP="004C76AB"/>
    <w:sectPr w:rsidR="00A51A6E" w:rsidRPr="004C76AB" w:rsidSect="00A51A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17B92"/>
    <w:multiLevelType w:val="hybridMultilevel"/>
    <w:tmpl w:val="4154905C"/>
    <w:lvl w:ilvl="0" w:tplc="7C2C2A04">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29D17253"/>
    <w:multiLevelType w:val="hybridMultilevel"/>
    <w:tmpl w:val="86E4734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F8F338C"/>
    <w:multiLevelType w:val="hybridMultilevel"/>
    <w:tmpl w:val="CFDCAFEA"/>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78BF0CFF"/>
    <w:multiLevelType w:val="hybridMultilevel"/>
    <w:tmpl w:val="AC8ACCB8"/>
    <w:lvl w:ilvl="0" w:tplc="C106A1D4">
      <w:start w:val="1"/>
      <w:numFmt w:val="upperLetter"/>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5FB3"/>
    <w:rsid w:val="00062F94"/>
    <w:rsid w:val="00082334"/>
    <w:rsid w:val="00086FEB"/>
    <w:rsid w:val="000E488E"/>
    <w:rsid w:val="0012291A"/>
    <w:rsid w:val="001435ED"/>
    <w:rsid w:val="001F30F7"/>
    <w:rsid w:val="001F7883"/>
    <w:rsid w:val="002279EC"/>
    <w:rsid w:val="00233C70"/>
    <w:rsid w:val="00264AE7"/>
    <w:rsid w:val="00302C19"/>
    <w:rsid w:val="00322FC5"/>
    <w:rsid w:val="00355522"/>
    <w:rsid w:val="0042032E"/>
    <w:rsid w:val="004363D1"/>
    <w:rsid w:val="004511B3"/>
    <w:rsid w:val="004C76AB"/>
    <w:rsid w:val="004F6B13"/>
    <w:rsid w:val="005B4C7B"/>
    <w:rsid w:val="00675B7C"/>
    <w:rsid w:val="00693AA2"/>
    <w:rsid w:val="00696CF6"/>
    <w:rsid w:val="006B494A"/>
    <w:rsid w:val="006E2866"/>
    <w:rsid w:val="007005F1"/>
    <w:rsid w:val="00703E1F"/>
    <w:rsid w:val="00714634"/>
    <w:rsid w:val="007302D9"/>
    <w:rsid w:val="00777B79"/>
    <w:rsid w:val="007A5C56"/>
    <w:rsid w:val="007B13D3"/>
    <w:rsid w:val="00846D3B"/>
    <w:rsid w:val="008601E1"/>
    <w:rsid w:val="008729DE"/>
    <w:rsid w:val="008C1814"/>
    <w:rsid w:val="008D026C"/>
    <w:rsid w:val="008E5FB3"/>
    <w:rsid w:val="009923CD"/>
    <w:rsid w:val="009C4705"/>
    <w:rsid w:val="009E11A2"/>
    <w:rsid w:val="00A0358D"/>
    <w:rsid w:val="00A04429"/>
    <w:rsid w:val="00A11AE5"/>
    <w:rsid w:val="00A178F9"/>
    <w:rsid w:val="00A32799"/>
    <w:rsid w:val="00A51A6E"/>
    <w:rsid w:val="00A75FAE"/>
    <w:rsid w:val="00AB57F2"/>
    <w:rsid w:val="00AC08B2"/>
    <w:rsid w:val="00AC6D48"/>
    <w:rsid w:val="00B15A73"/>
    <w:rsid w:val="00B731C7"/>
    <w:rsid w:val="00BC4A30"/>
    <w:rsid w:val="00C42FD5"/>
    <w:rsid w:val="00CA1A32"/>
    <w:rsid w:val="00D56DC0"/>
    <w:rsid w:val="00D937CF"/>
    <w:rsid w:val="00DB30B9"/>
    <w:rsid w:val="00DC0DB2"/>
    <w:rsid w:val="00DD1A16"/>
    <w:rsid w:val="00E060C5"/>
    <w:rsid w:val="00E51FD3"/>
    <w:rsid w:val="00E54C8D"/>
    <w:rsid w:val="00E843B2"/>
    <w:rsid w:val="00EC30C2"/>
    <w:rsid w:val="00ED5869"/>
    <w:rsid w:val="00F02AA1"/>
    <w:rsid w:val="00F104F6"/>
    <w:rsid w:val="00F425C6"/>
    <w:rsid w:val="00F57269"/>
    <w:rsid w:val="00FA1985"/>
    <w:rsid w:val="00FA27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3890"/>
  <w15:docId w15:val="{4C34FE78-FE50-438B-BA88-862E6074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F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E5FB3"/>
    <w:pPr>
      <w:ind w:left="720"/>
      <w:contextualSpacing/>
    </w:pPr>
  </w:style>
  <w:style w:type="table" w:styleId="Tabelacomgrade">
    <w:name w:val="Table Grid"/>
    <w:basedOn w:val="Tabelanormal"/>
    <w:uiPriority w:val="59"/>
    <w:rsid w:val="008E5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2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FAD36-49AB-4E8A-8915-395EBABA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1100</Words>
  <Characters>5945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escritorio</dc:creator>
  <cp:lastModifiedBy>comunicacao</cp:lastModifiedBy>
  <cp:revision>5</cp:revision>
  <dcterms:created xsi:type="dcterms:W3CDTF">2017-12-08T10:38:00Z</dcterms:created>
  <dcterms:modified xsi:type="dcterms:W3CDTF">2017-12-08T19:53:00Z</dcterms:modified>
</cp:coreProperties>
</file>